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7D2BDA" w:rsidP="00244120">
            <w:pPr>
              <w:pStyle w:val="Infotext"/>
              <w:rPr>
                <w:rFonts w:ascii="Arial Black" w:hAnsi="Arial Black"/>
                <w:color w:val="999999"/>
                <w:sz w:val="36"/>
                <w:szCs w:val="36"/>
              </w:rPr>
            </w:pPr>
            <w:bookmarkStart w:id="0" w:name="_GoBack"/>
            <w:bookmarkEnd w:id="0"/>
          </w:p>
          <w:p w:rsidR="007D2BDA" w:rsidRDefault="00B2654B"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1B283D" w:rsidRDefault="001B283D" w:rsidP="001B283D">
            <w:pPr>
              <w:pStyle w:val="Infotext"/>
              <w:rPr>
                <w:rFonts w:ascii="Arial Black" w:hAnsi="Arial Black" w:cs="Arial"/>
                <w:color w:val="0000FF"/>
                <w:sz w:val="24"/>
                <w:szCs w:val="24"/>
              </w:rPr>
            </w:pPr>
            <w:r w:rsidRPr="001B283D">
              <w:rPr>
                <w:rFonts w:ascii="Arial Black" w:hAnsi="Arial Black" w:cs="Arial"/>
                <w:sz w:val="24"/>
                <w:szCs w:val="24"/>
              </w:rPr>
              <w:t>Governance, Audit, Risk Management and Standards Committee (GARMS)</w:t>
            </w: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1B283D">
            <w:pPr>
              <w:pStyle w:val="Infotext"/>
              <w:rPr>
                <w:rFonts w:cs="Arial"/>
              </w:rPr>
            </w:pPr>
            <w:r>
              <w:rPr>
                <w:rFonts w:cs="Arial"/>
              </w:rPr>
              <w:t>16 July 2019</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1B283D">
            <w:pPr>
              <w:pStyle w:val="Infotext"/>
              <w:rPr>
                <w:rFonts w:cs="Arial"/>
              </w:rPr>
            </w:pPr>
            <w:r>
              <w:rPr>
                <w:rFonts w:cs="Arial"/>
              </w:rPr>
              <w:t>Statement of Accounts 2018-19</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1B283D">
            <w:pPr>
              <w:pStyle w:val="Infotext"/>
              <w:rPr>
                <w:rFonts w:cs="Arial"/>
              </w:rPr>
            </w:pPr>
            <w:r>
              <w:rPr>
                <w:rFonts w:cs="Arial"/>
              </w:rPr>
              <w:t xml:space="preserve">Dawn Calvert, Director of Finance </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C05BE4" w:rsidP="00C05BE4">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8232AB" w:rsidRDefault="008232AB" w:rsidP="008232AB">
            <w:pPr>
              <w:pStyle w:val="Infotext"/>
              <w:rPr>
                <w:sz w:val="24"/>
                <w:szCs w:val="24"/>
              </w:rPr>
            </w:pPr>
            <w:r w:rsidRPr="008232AB">
              <w:rPr>
                <w:sz w:val="24"/>
                <w:szCs w:val="24"/>
              </w:rPr>
              <w:t xml:space="preserve">Appendix 1: Statement of Accounts 2018-19 </w:t>
            </w:r>
          </w:p>
          <w:p w:rsidR="008232AB" w:rsidRDefault="008232AB" w:rsidP="008232AB">
            <w:pPr>
              <w:pStyle w:val="Infotext"/>
              <w:rPr>
                <w:sz w:val="24"/>
                <w:szCs w:val="24"/>
              </w:rPr>
            </w:pPr>
            <w:r w:rsidRPr="008232AB">
              <w:rPr>
                <w:sz w:val="24"/>
                <w:szCs w:val="24"/>
              </w:rPr>
              <w:t>Appendix 2:</w:t>
            </w:r>
            <w:r>
              <w:rPr>
                <w:sz w:val="24"/>
                <w:szCs w:val="24"/>
              </w:rPr>
              <w:t xml:space="preserve"> Pension Fund Annual Report 2018-19 </w:t>
            </w:r>
          </w:p>
          <w:p w:rsidR="008232AB" w:rsidRDefault="008232AB" w:rsidP="008232AB">
            <w:pPr>
              <w:pStyle w:val="Infotext"/>
              <w:rPr>
                <w:sz w:val="24"/>
                <w:szCs w:val="24"/>
              </w:rPr>
            </w:pPr>
            <w:r>
              <w:rPr>
                <w:sz w:val="24"/>
                <w:szCs w:val="24"/>
              </w:rPr>
              <w:t>Appendix 3: Summary Statement of Accounts 2018-19</w:t>
            </w:r>
          </w:p>
          <w:p w:rsidR="002A2389" w:rsidRPr="008232AB" w:rsidRDefault="008232AB" w:rsidP="007D1BE2">
            <w:pPr>
              <w:pStyle w:val="Infotext"/>
              <w:rPr>
                <w:sz w:val="24"/>
                <w:szCs w:val="24"/>
              </w:rPr>
            </w:pPr>
            <w:r>
              <w:rPr>
                <w:sz w:val="24"/>
                <w:szCs w:val="24"/>
              </w:rPr>
              <w:t>Appendix 4: External Audit Report</w:t>
            </w:r>
            <w:r w:rsidR="00FB5D54">
              <w:rPr>
                <w:sz w:val="24"/>
                <w:szCs w:val="24"/>
              </w:rPr>
              <w:t>s</w:t>
            </w:r>
            <w:r>
              <w:rPr>
                <w:sz w:val="24"/>
                <w:szCs w:val="24"/>
              </w:rPr>
              <w:t xml:space="preserve"> on the Statement of Accounts and the Harrow Pension Fund for the year ended 31 March 2019 </w:t>
            </w:r>
          </w:p>
        </w:tc>
      </w:tr>
      <w:tr w:rsidR="008232AB" w:rsidTr="007D2BDA">
        <w:tc>
          <w:tcPr>
            <w:tcW w:w="3456" w:type="dxa"/>
          </w:tcPr>
          <w:p w:rsidR="008232AB" w:rsidRPr="00F92398" w:rsidRDefault="008232AB">
            <w:pPr>
              <w:pStyle w:val="Infotext"/>
              <w:rPr>
                <w:rFonts w:ascii="Arial Black" w:hAnsi="Arial Black" w:cs="Arial"/>
              </w:rPr>
            </w:pPr>
          </w:p>
        </w:tc>
        <w:tc>
          <w:tcPr>
            <w:tcW w:w="5508" w:type="dxa"/>
            <w:gridSpan w:val="2"/>
          </w:tcPr>
          <w:p w:rsidR="008232AB" w:rsidRDefault="008232AB">
            <w:pPr>
              <w:pStyle w:val="Infotext"/>
            </w:pP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2A2389" w:rsidRDefault="002A2389"/>
          <w:p w:rsidR="002A2389" w:rsidRPr="008232AB" w:rsidRDefault="002A2389">
            <w:r w:rsidRPr="008232AB">
              <w:t xml:space="preserve">This report </w:t>
            </w:r>
            <w:r w:rsidR="008232AB" w:rsidRPr="008232AB">
              <w:t xml:space="preserve">presents the Statement of Accounts for 2018-19 subject to the issue of the audit opinion </w:t>
            </w:r>
          </w:p>
          <w:p w:rsidR="002A2389" w:rsidRDefault="002A2389">
            <w:pPr>
              <w:pStyle w:val="Heading2"/>
            </w:pPr>
          </w:p>
          <w:p w:rsidR="002A2389" w:rsidRDefault="002A2389">
            <w:pPr>
              <w:pStyle w:val="Heading2"/>
            </w:pPr>
            <w:r>
              <w:t xml:space="preserve">Recommendations: </w:t>
            </w:r>
          </w:p>
          <w:p w:rsidR="002A2389" w:rsidRDefault="008232AB" w:rsidP="008232AB">
            <w:pPr>
              <w:numPr>
                <w:ilvl w:val="0"/>
                <w:numId w:val="15"/>
              </w:numPr>
            </w:pPr>
            <w:r>
              <w:t>Consider the report</w:t>
            </w:r>
            <w:r w:rsidR="005B321C">
              <w:t>s</w:t>
            </w:r>
            <w:r>
              <w:t xml:space="preserve"> of the External Auditor on matters arising from the audit of the Statement of Accounts 2018-19 and the Pension Fund Annual Report 2018-19</w:t>
            </w:r>
            <w:r w:rsidR="00AF4A07">
              <w:t xml:space="preserve"> (appendix 4)</w:t>
            </w:r>
            <w:r>
              <w:t>;</w:t>
            </w:r>
          </w:p>
          <w:p w:rsidR="00950D17" w:rsidRDefault="008232AB" w:rsidP="008232AB">
            <w:pPr>
              <w:numPr>
                <w:ilvl w:val="0"/>
                <w:numId w:val="15"/>
              </w:numPr>
            </w:pPr>
            <w:r>
              <w:t>Approve the Statement of Accounts 2018-19</w:t>
            </w:r>
            <w:r w:rsidR="00950D17">
              <w:t xml:space="preserve"> (which are s</w:t>
            </w:r>
            <w:r>
              <w:t>ubject to the issue of the audit opinion</w:t>
            </w:r>
            <w:r w:rsidR="00950D17">
              <w:t>)</w:t>
            </w:r>
            <w:r w:rsidR="007D1BE2">
              <w:t xml:space="preserve"> </w:t>
            </w:r>
            <w:r>
              <w:t>and the Pension Fund Annual Report</w:t>
            </w:r>
            <w:r w:rsidR="00950D17">
              <w:t xml:space="preserve"> 2018-19 and authorise the signing </w:t>
            </w:r>
            <w:r w:rsidR="007D1BE2">
              <w:t xml:space="preserve">of the </w:t>
            </w:r>
            <w:r w:rsidR="007E17B5">
              <w:t>a</w:t>
            </w:r>
            <w:r w:rsidR="007D1BE2">
              <w:t xml:space="preserve">ccounts </w:t>
            </w:r>
            <w:r w:rsidR="00950D17">
              <w:t>by the Chair</w:t>
            </w:r>
            <w:r w:rsidR="00AF4A07">
              <w:t xml:space="preserve"> (appendix 1 and appendix 2)</w:t>
            </w:r>
            <w:r w:rsidR="00950D17">
              <w:t>;</w:t>
            </w:r>
          </w:p>
          <w:p w:rsidR="00F635AD" w:rsidRDefault="00950D17" w:rsidP="008232AB">
            <w:pPr>
              <w:numPr>
                <w:ilvl w:val="0"/>
                <w:numId w:val="15"/>
              </w:numPr>
            </w:pPr>
            <w:r>
              <w:lastRenderedPageBreak/>
              <w:t xml:space="preserve">Authorise the Director of Finance, following consultation </w:t>
            </w:r>
            <w:r w:rsidR="00F635AD">
              <w:t xml:space="preserve">with the Chair, to make any final amendments to the Statement of Accounts and Pension Fund Annual Report arising from the external audit prior to the issue of the audit opinion and signing of the accounts by the auditor; and </w:t>
            </w:r>
          </w:p>
          <w:p w:rsidR="00F635AD" w:rsidRDefault="00F635AD" w:rsidP="008232AB">
            <w:pPr>
              <w:numPr>
                <w:ilvl w:val="0"/>
                <w:numId w:val="15"/>
              </w:numPr>
            </w:pPr>
            <w:r>
              <w:t>Note the Summary Statement of Accounts 2018-19</w:t>
            </w:r>
            <w:r w:rsidR="00AF4A07">
              <w:t xml:space="preserve"> (appendix 3)</w:t>
            </w:r>
            <w:r>
              <w:t>.</w:t>
            </w:r>
          </w:p>
          <w:p w:rsidR="00F635AD" w:rsidRDefault="00F635AD" w:rsidP="00F635AD"/>
          <w:p w:rsidR="008232AB" w:rsidRDefault="00F635AD" w:rsidP="00F635AD">
            <w:r>
              <w:rPr>
                <w:b/>
              </w:rPr>
              <w:t>Reason:</w:t>
            </w:r>
            <w:r>
              <w:t xml:space="preserve">    </w:t>
            </w:r>
            <w:r w:rsidR="00950D17">
              <w:t xml:space="preserve">  </w:t>
            </w:r>
            <w:r w:rsidR="008232AB">
              <w:t xml:space="preserve"> </w:t>
            </w:r>
          </w:p>
          <w:p w:rsidR="00F635AD" w:rsidRDefault="00F635AD" w:rsidP="00213BE7"/>
          <w:p w:rsidR="002A2389" w:rsidRDefault="00F635AD">
            <w:r>
              <w:t>Under the Accounts and Audit Regulations 2015, the Statement of Accounts must be approved by a committee of Members. Once approval has been given</w:t>
            </w:r>
            <w:r w:rsidR="00060227">
              <w:t>, the Chair of the Committee is required to sign and date the Statement of Accounts.</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2A2389" w:rsidRDefault="002A2389"/>
    <w:p w:rsidR="002A2389" w:rsidRDefault="002A2389" w:rsidP="007707EC">
      <w:pPr>
        <w:pStyle w:val="Heading2"/>
        <w:rPr>
          <w:color w:val="0000FF"/>
        </w:rPr>
      </w:pPr>
      <w:r w:rsidRPr="007707EC">
        <w:t>Background</w:t>
      </w:r>
      <w:r>
        <w:rPr>
          <w:color w:val="0000FF"/>
        </w:rPr>
        <w:t xml:space="preserve"> </w:t>
      </w:r>
    </w:p>
    <w:p w:rsidR="007707EC" w:rsidRDefault="007707EC" w:rsidP="007707EC"/>
    <w:p w:rsidR="007707EC" w:rsidRPr="007707EC" w:rsidRDefault="007707EC" w:rsidP="007707EC">
      <w:pPr>
        <w:numPr>
          <w:ilvl w:val="0"/>
          <w:numId w:val="17"/>
        </w:numPr>
        <w:rPr>
          <w:rFonts w:cs="Arial"/>
          <w:szCs w:val="24"/>
        </w:rPr>
      </w:pPr>
      <w:r w:rsidRPr="007707EC">
        <w:rPr>
          <w:rFonts w:cs="Arial"/>
          <w:szCs w:val="24"/>
        </w:rPr>
        <w:t>The Accounts and Audit Regulations 2015, require Local Authorities to prepare the Statement of Accounts in accordance with proper practices. This is the second year that the draft Statement of Accounts is required to be prepared by 31</w:t>
      </w:r>
      <w:r w:rsidRPr="007707EC">
        <w:rPr>
          <w:rFonts w:cs="Arial"/>
          <w:szCs w:val="24"/>
          <w:vertAlign w:val="superscript"/>
        </w:rPr>
        <w:t>st</w:t>
      </w:r>
      <w:r w:rsidRPr="007707EC">
        <w:rPr>
          <w:rFonts w:cs="Arial"/>
          <w:szCs w:val="24"/>
        </w:rPr>
        <w:t xml:space="preserve"> May (previously the deadline was 30</w:t>
      </w:r>
      <w:r w:rsidRPr="007707EC">
        <w:rPr>
          <w:rFonts w:cs="Arial"/>
          <w:szCs w:val="24"/>
          <w:vertAlign w:val="superscript"/>
        </w:rPr>
        <w:t>th</w:t>
      </w:r>
      <w:r w:rsidRPr="007707EC">
        <w:rPr>
          <w:rFonts w:cs="Arial"/>
          <w:szCs w:val="24"/>
        </w:rPr>
        <w:t xml:space="preserve"> June). The draft Statement of Accounts must be signed and dated by the responsible financial officer (Director of Finance section 151 </w:t>
      </w:r>
      <w:proofErr w:type="gramStart"/>
      <w:r w:rsidRPr="007707EC">
        <w:rPr>
          <w:rFonts w:cs="Arial"/>
          <w:szCs w:val="24"/>
        </w:rPr>
        <w:t>officer</w:t>
      </w:r>
      <w:proofErr w:type="gramEnd"/>
      <w:r w:rsidRPr="007707EC">
        <w:rPr>
          <w:rFonts w:cs="Arial"/>
          <w:szCs w:val="24"/>
        </w:rPr>
        <w:t>).</w:t>
      </w:r>
    </w:p>
    <w:p w:rsidR="007707EC" w:rsidRPr="007707EC" w:rsidRDefault="007707EC" w:rsidP="007707EC">
      <w:pPr>
        <w:ind w:left="720"/>
        <w:rPr>
          <w:rFonts w:cs="Arial"/>
          <w:szCs w:val="24"/>
        </w:rPr>
      </w:pPr>
    </w:p>
    <w:p w:rsidR="007707EC" w:rsidRPr="007707EC" w:rsidRDefault="007707EC" w:rsidP="007707EC">
      <w:pPr>
        <w:numPr>
          <w:ilvl w:val="0"/>
          <w:numId w:val="17"/>
        </w:numPr>
        <w:rPr>
          <w:rFonts w:cs="Arial"/>
          <w:szCs w:val="24"/>
        </w:rPr>
      </w:pPr>
      <w:r w:rsidRPr="007707EC">
        <w:rPr>
          <w:rFonts w:cs="Arial"/>
          <w:szCs w:val="24"/>
        </w:rPr>
        <w:t xml:space="preserve">The new earlier deadline means that GARMS Members do not have a scheduled meeting to review and ask questions on the draft Statement of Accounts.  To enable Members to have the opportunity of discussing and reviewing the draft Statement of Accounts, all Members were provided with an electronic copy and invited to submit questions to the Central Finance Team before todays GARMS meeting. A schedule of questions together with responses has been circulated to all Members of the GARMS committee. </w:t>
      </w:r>
    </w:p>
    <w:p w:rsidR="007707EC" w:rsidRPr="007707EC" w:rsidRDefault="007707EC" w:rsidP="007707EC">
      <w:pPr>
        <w:ind w:left="720"/>
        <w:rPr>
          <w:rFonts w:cs="Arial"/>
          <w:szCs w:val="24"/>
        </w:rPr>
      </w:pPr>
    </w:p>
    <w:p w:rsidR="007707EC" w:rsidRPr="007707EC" w:rsidRDefault="007707EC" w:rsidP="007707EC">
      <w:pPr>
        <w:numPr>
          <w:ilvl w:val="0"/>
          <w:numId w:val="17"/>
        </w:numPr>
        <w:rPr>
          <w:rFonts w:cs="Arial"/>
          <w:szCs w:val="24"/>
        </w:rPr>
      </w:pPr>
      <w:r w:rsidRPr="007707EC">
        <w:rPr>
          <w:rFonts w:cs="Arial"/>
          <w:szCs w:val="24"/>
        </w:rPr>
        <w:t>Following the public inspection period (3</w:t>
      </w:r>
      <w:r w:rsidRPr="007707EC">
        <w:rPr>
          <w:rFonts w:cs="Arial"/>
          <w:szCs w:val="24"/>
          <w:vertAlign w:val="superscript"/>
        </w:rPr>
        <w:t>rd</w:t>
      </w:r>
      <w:r w:rsidRPr="007707EC">
        <w:rPr>
          <w:rFonts w:cs="Arial"/>
          <w:szCs w:val="24"/>
        </w:rPr>
        <w:t xml:space="preserve"> June 2019 to 12</w:t>
      </w:r>
      <w:r w:rsidRPr="007707EC">
        <w:rPr>
          <w:rFonts w:cs="Arial"/>
          <w:szCs w:val="24"/>
          <w:vertAlign w:val="superscript"/>
        </w:rPr>
        <w:t>th</w:t>
      </w:r>
      <w:r w:rsidRPr="007707EC">
        <w:rPr>
          <w:rFonts w:cs="Arial"/>
          <w:szCs w:val="24"/>
        </w:rPr>
        <w:t xml:space="preserve"> July 2019), the Regulations require the Statement of Accounts to be submitted to a committee for approval. The Statement of Accounts must be signed and dated by the Chair of the Committee. At Harrow, the Committee nominated to receive and approve the accounts is the GARMS committee.</w:t>
      </w:r>
    </w:p>
    <w:p w:rsidR="007707EC" w:rsidRPr="007707EC" w:rsidRDefault="007707EC" w:rsidP="007707EC">
      <w:pPr>
        <w:ind w:left="720"/>
        <w:rPr>
          <w:rFonts w:cs="Arial"/>
          <w:szCs w:val="24"/>
        </w:rPr>
      </w:pPr>
    </w:p>
    <w:p w:rsidR="007707EC" w:rsidRPr="007707EC" w:rsidRDefault="007707EC" w:rsidP="007707EC">
      <w:pPr>
        <w:numPr>
          <w:ilvl w:val="0"/>
          <w:numId w:val="17"/>
        </w:numPr>
        <w:rPr>
          <w:rFonts w:cs="Arial"/>
          <w:szCs w:val="24"/>
        </w:rPr>
      </w:pPr>
      <w:r w:rsidRPr="007707EC">
        <w:rPr>
          <w:rFonts w:cs="Arial"/>
          <w:szCs w:val="24"/>
        </w:rPr>
        <w:t>This is the second year that the audited Statement of Accounts must be published by 31</w:t>
      </w:r>
      <w:r w:rsidRPr="007707EC">
        <w:rPr>
          <w:rFonts w:cs="Arial"/>
          <w:szCs w:val="24"/>
          <w:vertAlign w:val="superscript"/>
        </w:rPr>
        <w:t>st</w:t>
      </w:r>
      <w:r w:rsidRPr="007707EC">
        <w:rPr>
          <w:rFonts w:cs="Arial"/>
          <w:szCs w:val="24"/>
        </w:rPr>
        <w:t xml:space="preserve"> July (previously 30</w:t>
      </w:r>
      <w:r w:rsidRPr="007707EC">
        <w:rPr>
          <w:rFonts w:cs="Arial"/>
          <w:szCs w:val="24"/>
          <w:vertAlign w:val="superscript"/>
        </w:rPr>
        <w:t>th</w:t>
      </w:r>
      <w:r w:rsidRPr="007707EC">
        <w:rPr>
          <w:rFonts w:cs="Arial"/>
          <w:szCs w:val="24"/>
        </w:rPr>
        <w:t xml:space="preserve"> September).  </w:t>
      </w:r>
    </w:p>
    <w:p w:rsidR="007707EC" w:rsidRPr="007707EC" w:rsidRDefault="007707EC" w:rsidP="007707EC">
      <w:pPr>
        <w:ind w:left="720"/>
        <w:rPr>
          <w:rFonts w:cs="Arial"/>
          <w:szCs w:val="24"/>
        </w:rPr>
      </w:pPr>
    </w:p>
    <w:p w:rsidR="007707EC" w:rsidRPr="007707EC" w:rsidRDefault="002318F8" w:rsidP="007707EC">
      <w:pPr>
        <w:numPr>
          <w:ilvl w:val="0"/>
          <w:numId w:val="17"/>
        </w:numPr>
        <w:rPr>
          <w:rFonts w:cs="Arial"/>
          <w:szCs w:val="24"/>
        </w:rPr>
      </w:pPr>
      <w:r>
        <w:rPr>
          <w:rFonts w:cs="Arial"/>
          <w:szCs w:val="24"/>
        </w:rPr>
        <w:t>P</w:t>
      </w:r>
      <w:r w:rsidR="007707EC" w:rsidRPr="007707EC">
        <w:rPr>
          <w:rFonts w:cs="Arial"/>
          <w:szCs w:val="24"/>
        </w:rPr>
        <w:t xml:space="preserve">ublishing the Statement of Accounts makes public the Council’s financial performance for the year of account. They </w:t>
      </w:r>
      <w:r>
        <w:rPr>
          <w:rFonts w:cs="Arial"/>
          <w:szCs w:val="24"/>
        </w:rPr>
        <w:t xml:space="preserve">are a substantial part of the </w:t>
      </w:r>
      <w:r w:rsidR="007707EC" w:rsidRPr="007707EC">
        <w:rPr>
          <w:rFonts w:cs="Arial"/>
          <w:szCs w:val="24"/>
        </w:rPr>
        <w:t>process by which the Council is held accountable to the public for the proper management and stewardship of the Council’s resources.</w:t>
      </w:r>
    </w:p>
    <w:p w:rsidR="007707EC" w:rsidRPr="007707EC" w:rsidRDefault="007707EC" w:rsidP="007707EC">
      <w:pPr>
        <w:ind w:left="720"/>
        <w:rPr>
          <w:rFonts w:cs="Arial"/>
          <w:szCs w:val="24"/>
        </w:rPr>
      </w:pPr>
    </w:p>
    <w:p w:rsidR="007707EC" w:rsidRDefault="007707EC" w:rsidP="007707EC">
      <w:pPr>
        <w:numPr>
          <w:ilvl w:val="0"/>
          <w:numId w:val="17"/>
        </w:numPr>
        <w:rPr>
          <w:rFonts w:cs="Arial"/>
          <w:szCs w:val="24"/>
        </w:rPr>
      </w:pPr>
      <w:r w:rsidRPr="007707EC">
        <w:rPr>
          <w:rFonts w:cs="Arial"/>
          <w:szCs w:val="24"/>
        </w:rPr>
        <w:t>The Pension Fund Annual Report (which includes the Pension Fund Statement of Accounts) is attached as appendix 2 to this report and was previously presented to the Pension Fund Committee in June 2019.</w:t>
      </w:r>
    </w:p>
    <w:p w:rsidR="007707EC" w:rsidRDefault="007707EC" w:rsidP="007707EC">
      <w:pPr>
        <w:pStyle w:val="ListParagraph"/>
        <w:rPr>
          <w:szCs w:val="24"/>
        </w:rPr>
      </w:pPr>
    </w:p>
    <w:p w:rsidR="007707EC" w:rsidRPr="004F3D7C" w:rsidRDefault="007707EC" w:rsidP="007707EC">
      <w:pPr>
        <w:numPr>
          <w:ilvl w:val="0"/>
          <w:numId w:val="17"/>
        </w:numPr>
        <w:rPr>
          <w:szCs w:val="24"/>
        </w:rPr>
      </w:pPr>
      <w:r w:rsidRPr="004F3D7C">
        <w:rPr>
          <w:rFonts w:cs="Arial"/>
          <w:szCs w:val="24"/>
        </w:rPr>
        <w:t>In accordance with the International Standard on Auditing (ISA) 260, the external auditor (</w:t>
      </w:r>
      <w:proofErr w:type="spellStart"/>
      <w:r w:rsidRPr="004F3D7C">
        <w:rPr>
          <w:rFonts w:cs="Arial"/>
          <w:szCs w:val="24"/>
        </w:rPr>
        <w:t>Mazars</w:t>
      </w:r>
      <w:proofErr w:type="spellEnd"/>
      <w:r w:rsidRPr="004F3D7C">
        <w:rPr>
          <w:rFonts w:cs="Arial"/>
          <w:szCs w:val="24"/>
        </w:rPr>
        <w:t xml:space="preserve"> LLP) prepares detailed reports on matters arising from the audit of the Statement of Accounts and Pension Fund Annual Report. Th</w:t>
      </w:r>
      <w:r w:rsidR="00EB24DE">
        <w:rPr>
          <w:rFonts w:cs="Arial"/>
          <w:szCs w:val="24"/>
        </w:rPr>
        <w:t>ese</w:t>
      </w:r>
      <w:r w:rsidRPr="004F3D7C">
        <w:rPr>
          <w:rFonts w:cs="Arial"/>
          <w:szCs w:val="24"/>
        </w:rPr>
        <w:t xml:space="preserve"> report</w:t>
      </w:r>
      <w:r w:rsidR="00EB24DE">
        <w:rPr>
          <w:rFonts w:cs="Arial"/>
          <w:szCs w:val="24"/>
        </w:rPr>
        <w:t>s</w:t>
      </w:r>
      <w:r w:rsidRPr="004F3D7C">
        <w:rPr>
          <w:rFonts w:cs="Arial"/>
          <w:szCs w:val="24"/>
        </w:rPr>
        <w:t xml:space="preserve"> </w:t>
      </w:r>
      <w:r w:rsidR="00EB24DE">
        <w:rPr>
          <w:rFonts w:cs="Arial"/>
          <w:szCs w:val="24"/>
        </w:rPr>
        <w:t>are</w:t>
      </w:r>
      <w:r w:rsidRPr="004F3D7C">
        <w:rPr>
          <w:rFonts w:cs="Arial"/>
          <w:szCs w:val="24"/>
        </w:rPr>
        <w:t xml:space="preserve"> required to be considered by “those charged with governance” (GARMS) before the external auditor can sign the accounts. </w:t>
      </w:r>
    </w:p>
    <w:p w:rsidR="004F3D7C" w:rsidRPr="004F3D7C" w:rsidRDefault="004F3D7C" w:rsidP="004F3D7C">
      <w:pPr>
        <w:ind w:left="864"/>
        <w:rPr>
          <w:szCs w:val="24"/>
        </w:rPr>
      </w:pPr>
    </w:p>
    <w:p w:rsidR="007707EC" w:rsidRDefault="007707EC" w:rsidP="007707EC">
      <w:pPr>
        <w:numPr>
          <w:ilvl w:val="0"/>
          <w:numId w:val="17"/>
        </w:numPr>
        <w:rPr>
          <w:rFonts w:cs="Arial"/>
          <w:szCs w:val="24"/>
        </w:rPr>
      </w:pPr>
      <w:r>
        <w:rPr>
          <w:rFonts w:cs="Arial"/>
          <w:szCs w:val="24"/>
        </w:rPr>
        <w:t xml:space="preserve">This is the first financial year that </w:t>
      </w:r>
      <w:proofErr w:type="spellStart"/>
      <w:r>
        <w:rPr>
          <w:rFonts w:cs="Arial"/>
          <w:szCs w:val="24"/>
        </w:rPr>
        <w:t>Mazars</w:t>
      </w:r>
      <w:proofErr w:type="spellEnd"/>
      <w:r>
        <w:rPr>
          <w:rFonts w:cs="Arial"/>
          <w:szCs w:val="24"/>
        </w:rPr>
        <w:t xml:space="preserve"> LLP are acting as the Council’s external auditors. </w:t>
      </w:r>
    </w:p>
    <w:p w:rsidR="007707EC" w:rsidRDefault="007707EC" w:rsidP="007707EC">
      <w:pPr>
        <w:pStyle w:val="ListParagraph"/>
        <w:rPr>
          <w:szCs w:val="24"/>
        </w:rPr>
      </w:pPr>
    </w:p>
    <w:p w:rsidR="007707EC" w:rsidRPr="007707EC" w:rsidRDefault="007707EC" w:rsidP="007707EC">
      <w:pPr>
        <w:numPr>
          <w:ilvl w:val="0"/>
          <w:numId w:val="17"/>
        </w:numPr>
        <w:rPr>
          <w:rFonts w:cs="Arial"/>
          <w:szCs w:val="24"/>
        </w:rPr>
      </w:pPr>
      <w:r>
        <w:rPr>
          <w:rFonts w:cs="Arial"/>
          <w:szCs w:val="24"/>
        </w:rPr>
        <w:lastRenderedPageBreak/>
        <w:t xml:space="preserve">The Annual </w:t>
      </w:r>
      <w:r w:rsidR="009A05B8">
        <w:rPr>
          <w:rFonts w:cs="Arial"/>
          <w:szCs w:val="24"/>
        </w:rPr>
        <w:t xml:space="preserve">Governance Statement is included </w:t>
      </w:r>
      <w:r w:rsidR="00FD3391">
        <w:rPr>
          <w:rFonts w:cs="Arial"/>
          <w:szCs w:val="24"/>
        </w:rPr>
        <w:t xml:space="preserve">in the Statement of Accounts. A separate report on the agenda for this meeting recommends its approval in its own right.  </w:t>
      </w:r>
      <w:r>
        <w:rPr>
          <w:rFonts w:cs="Arial"/>
          <w:szCs w:val="24"/>
        </w:rPr>
        <w:t xml:space="preserve">   </w:t>
      </w:r>
    </w:p>
    <w:p w:rsidR="007707EC" w:rsidRPr="007707EC" w:rsidRDefault="007707EC" w:rsidP="007707EC">
      <w:r>
        <w:t xml:space="preserve"> </w:t>
      </w:r>
    </w:p>
    <w:p w:rsidR="002A2389" w:rsidRPr="00C05BE4" w:rsidRDefault="00FD3391">
      <w:pPr>
        <w:pStyle w:val="Heading2"/>
      </w:pPr>
      <w:r w:rsidRPr="00C05BE4">
        <w:t>Accounts Summary</w:t>
      </w:r>
    </w:p>
    <w:p w:rsidR="00FD3391" w:rsidRDefault="00FD3391" w:rsidP="00FD3391"/>
    <w:p w:rsidR="00FD3391" w:rsidRPr="00FD3391" w:rsidRDefault="00FD3391" w:rsidP="00FD3391">
      <w:pPr>
        <w:numPr>
          <w:ilvl w:val="0"/>
          <w:numId w:val="17"/>
        </w:numPr>
        <w:rPr>
          <w:rFonts w:cs="Arial"/>
          <w:szCs w:val="24"/>
        </w:rPr>
      </w:pPr>
      <w:r>
        <w:rPr>
          <w:rFonts w:cs="Arial"/>
          <w:szCs w:val="24"/>
        </w:rPr>
        <w:t xml:space="preserve">The </w:t>
      </w:r>
      <w:r w:rsidRPr="00FD3391">
        <w:rPr>
          <w:rFonts w:cs="Arial"/>
          <w:b/>
          <w:szCs w:val="24"/>
        </w:rPr>
        <w:t>Narration Report</w:t>
      </w:r>
      <w:r>
        <w:rPr>
          <w:rFonts w:cs="Arial"/>
          <w:b/>
          <w:szCs w:val="24"/>
        </w:rPr>
        <w:t xml:space="preserve"> </w:t>
      </w:r>
      <w:r>
        <w:rPr>
          <w:rFonts w:cs="Arial"/>
          <w:szCs w:val="24"/>
        </w:rPr>
        <w:t xml:space="preserve">at section 1.0 provides an analysis of the performance of the Council and an overview of the future. </w:t>
      </w:r>
      <w:r w:rsidR="002318F8">
        <w:rPr>
          <w:rFonts w:cs="Arial"/>
          <w:szCs w:val="24"/>
        </w:rPr>
        <w:t>A</w:t>
      </w:r>
      <w:r>
        <w:rPr>
          <w:rFonts w:cs="Arial"/>
          <w:szCs w:val="24"/>
        </w:rPr>
        <w:t xml:space="preserve"> </w:t>
      </w:r>
      <w:r w:rsidR="00B5170A">
        <w:rPr>
          <w:rFonts w:cs="Arial"/>
          <w:szCs w:val="24"/>
        </w:rPr>
        <w:t xml:space="preserve">balanced outturn position </w:t>
      </w:r>
      <w:r w:rsidR="002318F8">
        <w:rPr>
          <w:rFonts w:cs="Arial"/>
          <w:szCs w:val="24"/>
        </w:rPr>
        <w:t xml:space="preserve">was achieved </w:t>
      </w:r>
      <w:r w:rsidR="00B5170A">
        <w:rPr>
          <w:rFonts w:cs="Arial"/>
          <w:szCs w:val="24"/>
        </w:rPr>
        <w:t>after contributing just under £11m into reserves</w:t>
      </w:r>
      <w:r w:rsidR="002318F8">
        <w:rPr>
          <w:rFonts w:cs="Arial"/>
          <w:szCs w:val="24"/>
        </w:rPr>
        <w:t>. Of this £11m,</w:t>
      </w:r>
      <w:r w:rsidR="00B5170A">
        <w:rPr>
          <w:rFonts w:cs="Arial"/>
          <w:szCs w:val="24"/>
        </w:rPr>
        <w:t xml:space="preserve"> £2.4m has been carried forward to be spent in 2019-20, leav</w:t>
      </w:r>
      <w:r w:rsidR="001F5117">
        <w:rPr>
          <w:rFonts w:cs="Arial"/>
          <w:szCs w:val="24"/>
        </w:rPr>
        <w:t xml:space="preserve">ing </w:t>
      </w:r>
      <w:r w:rsidR="00B5170A">
        <w:rPr>
          <w:rFonts w:cs="Arial"/>
          <w:szCs w:val="24"/>
        </w:rPr>
        <w:t xml:space="preserve">the remainder of £8.6m earmarked to help fund the 2019-20 budget and to fund capacity needed to implement future savings and organisational transformation. </w:t>
      </w:r>
      <w:r w:rsidRPr="00FD3391">
        <w:rPr>
          <w:rFonts w:cs="Arial"/>
          <w:szCs w:val="24"/>
        </w:rPr>
        <w:t xml:space="preserve">   </w:t>
      </w:r>
    </w:p>
    <w:p w:rsidR="00FD3391" w:rsidRPr="00FD3391" w:rsidRDefault="00FD3391" w:rsidP="00FD3391">
      <w:pPr>
        <w:ind w:left="720"/>
        <w:rPr>
          <w:rFonts w:cs="Arial"/>
          <w:szCs w:val="24"/>
        </w:rPr>
      </w:pPr>
    </w:p>
    <w:p w:rsidR="007D2A6C" w:rsidRDefault="00FD3391" w:rsidP="007D2A6C">
      <w:pPr>
        <w:numPr>
          <w:ilvl w:val="0"/>
          <w:numId w:val="17"/>
        </w:numPr>
        <w:rPr>
          <w:rFonts w:cs="Arial"/>
          <w:szCs w:val="24"/>
        </w:rPr>
      </w:pPr>
      <w:r w:rsidRPr="00FD3391">
        <w:rPr>
          <w:rFonts w:cs="Arial"/>
          <w:szCs w:val="24"/>
        </w:rPr>
        <w:t xml:space="preserve">The </w:t>
      </w:r>
      <w:r w:rsidRPr="00FD3391">
        <w:rPr>
          <w:rFonts w:cs="Arial"/>
          <w:b/>
          <w:szCs w:val="24"/>
        </w:rPr>
        <w:t>Comprehensive Income and Expenditure Account (CIES)</w:t>
      </w:r>
      <w:r>
        <w:rPr>
          <w:rFonts w:cs="Arial"/>
          <w:szCs w:val="24"/>
        </w:rPr>
        <w:t xml:space="preserve"> at section 4.1</w:t>
      </w:r>
      <w:r w:rsidR="004D0C99">
        <w:rPr>
          <w:rFonts w:cs="Arial"/>
          <w:szCs w:val="24"/>
        </w:rPr>
        <w:t xml:space="preserve"> </w:t>
      </w:r>
      <w:proofErr w:type="gramStart"/>
      <w:r>
        <w:rPr>
          <w:rFonts w:cs="Arial"/>
          <w:szCs w:val="24"/>
        </w:rPr>
        <w:t>shows</w:t>
      </w:r>
      <w:proofErr w:type="gramEnd"/>
      <w:r>
        <w:rPr>
          <w:rFonts w:cs="Arial"/>
          <w:szCs w:val="24"/>
        </w:rPr>
        <w:t xml:space="preserve"> the true economic cost of providing Council services. </w:t>
      </w:r>
      <w:r w:rsidR="007D2A6C" w:rsidRPr="00363F6D">
        <w:rPr>
          <w:rFonts w:cs="Arial"/>
          <w:szCs w:val="24"/>
        </w:rPr>
        <w:t xml:space="preserve">There </w:t>
      </w:r>
      <w:proofErr w:type="gramStart"/>
      <w:r w:rsidR="007D2A6C" w:rsidRPr="00363F6D">
        <w:rPr>
          <w:rFonts w:cs="Arial"/>
          <w:szCs w:val="24"/>
        </w:rPr>
        <w:t>ha</w:t>
      </w:r>
      <w:r w:rsidR="001F5117">
        <w:rPr>
          <w:rFonts w:cs="Arial"/>
          <w:szCs w:val="24"/>
        </w:rPr>
        <w:t>ve</w:t>
      </w:r>
      <w:proofErr w:type="gramEnd"/>
      <w:r w:rsidR="007D2A6C" w:rsidRPr="00363F6D">
        <w:rPr>
          <w:rFonts w:cs="Arial"/>
          <w:szCs w:val="24"/>
        </w:rPr>
        <w:t xml:space="preserve"> been no </w:t>
      </w:r>
      <w:r w:rsidR="001F5117">
        <w:rPr>
          <w:rFonts w:cs="Arial"/>
          <w:szCs w:val="24"/>
        </w:rPr>
        <w:t xml:space="preserve">material </w:t>
      </w:r>
      <w:r w:rsidR="007D2A6C" w:rsidRPr="00363F6D">
        <w:rPr>
          <w:rFonts w:cs="Arial"/>
          <w:szCs w:val="24"/>
        </w:rPr>
        <w:t>amendment</w:t>
      </w:r>
      <w:r w:rsidR="001F5117">
        <w:rPr>
          <w:rFonts w:cs="Arial"/>
          <w:szCs w:val="24"/>
        </w:rPr>
        <w:t>s</w:t>
      </w:r>
      <w:r w:rsidR="007D2A6C" w:rsidRPr="00363F6D">
        <w:rPr>
          <w:rFonts w:cs="Arial"/>
          <w:szCs w:val="24"/>
        </w:rPr>
        <w:t xml:space="preserve"> to the version reported </w:t>
      </w:r>
      <w:r w:rsidR="007D2A6C">
        <w:rPr>
          <w:rFonts w:cs="Arial"/>
          <w:szCs w:val="24"/>
        </w:rPr>
        <w:t xml:space="preserve">in the original draft </w:t>
      </w:r>
      <w:r w:rsidR="007D2A6C" w:rsidRPr="00363F6D">
        <w:rPr>
          <w:rFonts w:cs="Arial"/>
          <w:szCs w:val="24"/>
        </w:rPr>
        <w:t xml:space="preserve">accounts. </w:t>
      </w:r>
    </w:p>
    <w:p w:rsidR="007D2A6C" w:rsidRDefault="007D2A6C" w:rsidP="007D2A6C">
      <w:pPr>
        <w:pStyle w:val="ListParagraph"/>
        <w:rPr>
          <w:szCs w:val="24"/>
        </w:rPr>
      </w:pPr>
    </w:p>
    <w:p w:rsidR="00FD3391" w:rsidRPr="00BD5B0C" w:rsidRDefault="007D2A6C" w:rsidP="007D2A6C">
      <w:pPr>
        <w:numPr>
          <w:ilvl w:val="0"/>
          <w:numId w:val="17"/>
        </w:numPr>
        <w:rPr>
          <w:rFonts w:cs="Arial"/>
          <w:szCs w:val="24"/>
        </w:rPr>
      </w:pPr>
      <w:r w:rsidRPr="00BD5B0C">
        <w:rPr>
          <w:rFonts w:cs="Arial"/>
          <w:szCs w:val="24"/>
        </w:rPr>
        <w:t>The CIES deficit of £102m explains the net decrease in total Council net assets and reserves. This deficit includes a deficit on Provision of Services of £57m</w:t>
      </w:r>
      <w:r w:rsidR="001F5117">
        <w:rPr>
          <w:rFonts w:cs="Arial"/>
          <w:szCs w:val="24"/>
        </w:rPr>
        <w:t>, the revaluation loss on property</w:t>
      </w:r>
      <w:r w:rsidRPr="00BD5B0C">
        <w:rPr>
          <w:rFonts w:cs="Arial"/>
          <w:szCs w:val="24"/>
        </w:rPr>
        <w:t>, plant and equipment (£15m) and re-measurements of the net pension liability (£30m)</w:t>
      </w:r>
      <w:r w:rsidR="001F5117">
        <w:rPr>
          <w:rFonts w:cs="Arial"/>
          <w:szCs w:val="24"/>
        </w:rPr>
        <w:t>. The main difference between the deficit on Provision of Services of £57m and the balanced outturn report are capital losses and gains that are not shown in the outturn report including for example depreciation expense (£33m) and the loss on transfer of a school to Ac</w:t>
      </w:r>
      <w:r w:rsidR="00BB2FFD">
        <w:rPr>
          <w:rFonts w:cs="Arial"/>
          <w:szCs w:val="24"/>
        </w:rPr>
        <w:t>ademy status (£31m).</w:t>
      </w:r>
      <w:r w:rsidR="001F5117">
        <w:rPr>
          <w:rFonts w:cs="Arial"/>
          <w:szCs w:val="24"/>
        </w:rPr>
        <w:t xml:space="preserve"> </w:t>
      </w:r>
      <w:r w:rsidRPr="00BD5B0C">
        <w:rPr>
          <w:rFonts w:cs="Arial"/>
          <w:szCs w:val="24"/>
        </w:rPr>
        <w:t xml:space="preserve"> </w:t>
      </w:r>
    </w:p>
    <w:p w:rsidR="00FD3391" w:rsidRDefault="00FD3391" w:rsidP="00FD3391">
      <w:pPr>
        <w:pStyle w:val="ListParagraph"/>
        <w:rPr>
          <w:szCs w:val="24"/>
        </w:rPr>
      </w:pPr>
    </w:p>
    <w:p w:rsidR="00FD3391" w:rsidRDefault="0004605C" w:rsidP="00FD3391">
      <w:pPr>
        <w:numPr>
          <w:ilvl w:val="0"/>
          <w:numId w:val="17"/>
        </w:numPr>
        <w:rPr>
          <w:rFonts w:cs="Arial"/>
          <w:szCs w:val="24"/>
        </w:rPr>
      </w:pPr>
      <w:r>
        <w:rPr>
          <w:rFonts w:cs="Arial"/>
          <w:szCs w:val="24"/>
        </w:rPr>
        <w:t xml:space="preserve">Under </w:t>
      </w:r>
      <w:r w:rsidRPr="0004605C">
        <w:rPr>
          <w:rFonts w:cs="Arial"/>
          <w:szCs w:val="24"/>
        </w:rPr>
        <w:t xml:space="preserve">statutory regulations some of the costs disclosed in the CIES (e.g. </w:t>
      </w:r>
      <w:r w:rsidR="00BB2FFD">
        <w:rPr>
          <w:rFonts w:cs="Arial"/>
          <w:szCs w:val="24"/>
        </w:rPr>
        <w:t>depreciation, re-measurements of the net pension liability</w:t>
      </w:r>
      <w:r w:rsidRPr="0004605C">
        <w:rPr>
          <w:rFonts w:cs="Arial"/>
          <w:szCs w:val="24"/>
        </w:rPr>
        <w:t xml:space="preserve"> etc.) are </w:t>
      </w:r>
      <w:r w:rsidR="00BD5B0C">
        <w:rPr>
          <w:rFonts w:cs="Arial"/>
          <w:szCs w:val="24"/>
        </w:rPr>
        <w:t xml:space="preserve">technical accounting adjustments and these are </w:t>
      </w:r>
      <w:r w:rsidRPr="0004605C">
        <w:rPr>
          <w:rFonts w:cs="Arial"/>
          <w:szCs w:val="24"/>
        </w:rPr>
        <w:t xml:space="preserve">not taken into account when setting the Council Tax and Dwelling Rents. These are reversed in the </w:t>
      </w:r>
      <w:r w:rsidRPr="0004605C">
        <w:rPr>
          <w:rFonts w:cs="Arial"/>
          <w:b/>
          <w:szCs w:val="24"/>
        </w:rPr>
        <w:t>Movement in Reserves Statement</w:t>
      </w:r>
      <w:r w:rsidRPr="0004605C">
        <w:rPr>
          <w:rFonts w:cs="Arial"/>
          <w:szCs w:val="24"/>
        </w:rPr>
        <w:t xml:space="preserve"> which summarises the Council’s total usable and unusable reserves. The increase of £23m in the</w:t>
      </w:r>
      <w:r>
        <w:rPr>
          <w:rFonts w:cs="Arial"/>
          <w:szCs w:val="24"/>
        </w:rPr>
        <w:t xml:space="preserve"> </w:t>
      </w:r>
      <w:r w:rsidRPr="0004605C">
        <w:rPr>
          <w:rFonts w:cs="Arial"/>
          <w:szCs w:val="24"/>
        </w:rPr>
        <w:t>usable reserves balance reported in section</w:t>
      </w:r>
      <w:r>
        <w:rPr>
          <w:rFonts w:cs="Arial"/>
          <w:szCs w:val="24"/>
        </w:rPr>
        <w:t xml:space="preserve"> 4.2 of the </w:t>
      </w:r>
      <w:r w:rsidR="007D2A6C">
        <w:rPr>
          <w:rFonts w:cs="Arial"/>
          <w:szCs w:val="24"/>
        </w:rPr>
        <w:t xml:space="preserve">original </w:t>
      </w:r>
      <w:r>
        <w:rPr>
          <w:rFonts w:cs="Arial"/>
          <w:szCs w:val="24"/>
        </w:rPr>
        <w:t xml:space="preserve">draft accounts remains unchanged. </w:t>
      </w:r>
    </w:p>
    <w:p w:rsidR="0004605C" w:rsidRPr="00363F6D" w:rsidRDefault="0004605C" w:rsidP="0004605C">
      <w:pPr>
        <w:pStyle w:val="ListParagraph"/>
        <w:rPr>
          <w:sz w:val="24"/>
          <w:szCs w:val="24"/>
        </w:rPr>
      </w:pPr>
    </w:p>
    <w:p w:rsidR="0004605C" w:rsidRPr="00363F6D" w:rsidRDefault="0004605C" w:rsidP="0004605C">
      <w:pPr>
        <w:numPr>
          <w:ilvl w:val="0"/>
          <w:numId w:val="17"/>
        </w:numPr>
        <w:rPr>
          <w:rFonts w:cs="Arial"/>
          <w:szCs w:val="24"/>
        </w:rPr>
      </w:pPr>
      <w:r w:rsidRPr="00363F6D">
        <w:rPr>
          <w:rFonts w:cs="Arial"/>
          <w:szCs w:val="24"/>
        </w:rPr>
        <w:t xml:space="preserve">The </w:t>
      </w:r>
      <w:r w:rsidRPr="00363F6D">
        <w:rPr>
          <w:rFonts w:cs="Arial"/>
          <w:b/>
          <w:szCs w:val="24"/>
        </w:rPr>
        <w:t>Balance Sheet</w:t>
      </w:r>
      <w:r w:rsidRPr="00363F6D">
        <w:rPr>
          <w:rFonts w:cs="Arial"/>
          <w:szCs w:val="24"/>
        </w:rPr>
        <w:t xml:space="preserve"> at 4.</w:t>
      </w:r>
      <w:r>
        <w:rPr>
          <w:rFonts w:cs="Arial"/>
          <w:szCs w:val="24"/>
        </w:rPr>
        <w:t>3</w:t>
      </w:r>
      <w:r w:rsidRPr="00363F6D">
        <w:rPr>
          <w:rFonts w:cs="Arial"/>
          <w:szCs w:val="24"/>
        </w:rPr>
        <w:t xml:space="preserve"> of the financial statements sets out the financial position of the Council as at 31</w:t>
      </w:r>
      <w:r w:rsidRPr="00363F6D">
        <w:rPr>
          <w:rFonts w:cs="Arial"/>
          <w:szCs w:val="24"/>
          <w:vertAlign w:val="superscript"/>
        </w:rPr>
        <w:t>st</w:t>
      </w:r>
      <w:r w:rsidRPr="00363F6D">
        <w:rPr>
          <w:rFonts w:cs="Arial"/>
          <w:szCs w:val="24"/>
        </w:rPr>
        <w:t xml:space="preserve"> March 201</w:t>
      </w:r>
      <w:r>
        <w:rPr>
          <w:rFonts w:cs="Arial"/>
          <w:szCs w:val="24"/>
        </w:rPr>
        <w:t>9</w:t>
      </w:r>
      <w:r w:rsidRPr="00363F6D">
        <w:rPr>
          <w:rFonts w:cs="Arial"/>
          <w:szCs w:val="24"/>
        </w:rPr>
        <w:t xml:space="preserve">. </w:t>
      </w:r>
      <w:r w:rsidR="00BD5B0C">
        <w:rPr>
          <w:rFonts w:cs="Arial"/>
          <w:szCs w:val="24"/>
        </w:rPr>
        <w:t>There have been no amendments to the version reported in the original draft accounts.</w:t>
      </w:r>
    </w:p>
    <w:p w:rsidR="0004605C" w:rsidRPr="00363F6D" w:rsidRDefault="0004605C" w:rsidP="0004605C">
      <w:pPr>
        <w:ind w:left="720"/>
        <w:rPr>
          <w:rFonts w:cs="Arial"/>
          <w:szCs w:val="24"/>
        </w:rPr>
      </w:pPr>
    </w:p>
    <w:p w:rsidR="0004605C" w:rsidRPr="00363F6D" w:rsidRDefault="0004605C" w:rsidP="0004605C">
      <w:pPr>
        <w:numPr>
          <w:ilvl w:val="0"/>
          <w:numId w:val="17"/>
        </w:numPr>
        <w:rPr>
          <w:rFonts w:cs="Arial"/>
          <w:szCs w:val="24"/>
        </w:rPr>
      </w:pPr>
      <w:r w:rsidRPr="00363F6D">
        <w:rPr>
          <w:rFonts w:cs="Arial"/>
          <w:szCs w:val="24"/>
        </w:rPr>
        <w:t xml:space="preserve">Property, Plant and Equipment has </w:t>
      </w:r>
      <w:r>
        <w:rPr>
          <w:rFonts w:cs="Arial"/>
          <w:szCs w:val="24"/>
        </w:rPr>
        <w:t>decreased</w:t>
      </w:r>
      <w:r w:rsidRPr="00363F6D">
        <w:rPr>
          <w:rFonts w:cs="Arial"/>
          <w:szCs w:val="24"/>
        </w:rPr>
        <w:t xml:space="preserve"> by £</w:t>
      </w:r>
      <w:r>
        <w:rPr>
          <w:rFonts w:cs="Arial"/>
          <w:szCs w:val="24"/>
        </w:rPr>
        <w:t>46</w:t>
      </w:r>
      <w:r w:rsidRPr="00363F6D">
        <w:rPr>
          <w:rFonts w:cs="Arial"/>
          <w:szCs w:val="24"/>
        </w:rPr>
        <w:t>m in valuation compared to 201</w:t>
      </w:r>
      <w:r>
        <w:rPr>
          <w:rFonts w:cs="Arial"/>
          <w:szCs w:val="24"/>
        </w:rPr>
        <w:t>7</w:t>
      </w:r>
      <w:r w:rsidRPr="00363F6D">
        <w:rPr>
          <w:rFonts w:cs="Arial"/>
          <w:szCs w:val="24"/>
        </w:rPr>
        <w:t>-1</w:t>
      </w:r>
      <w:r>
        <w:rPr>
          <w:rFonts w:cs="Arial"/>
          <w:szCs w:val="24"/>
        </w:rPr>
        <w:t>8</w:t>
      </w:r>
      <w:r w:rsidRPr="00363F6D">
        <w:rPr>
          <w:rFonts w:cs="Arial"/>
          <w:szCs w:val="24"/>
        </w:rPr>
        <w:t>. This is due primarily to additions (£</w:t>
      </w:r>
      <w:r>
        <w:rPr>
          <w:rFonts w:cs="Arial"/>
          <w:szCs w:val="24"/>
        </w:rPr>
        <w:t>38</w:t>
      </w:r>
      <w:r w:rsidRPr="00363F6D">
        <w:rPr>
          <w:rFonts w:cs="Arial"/>
          <w:szCs w:val="24"/>
        </w:rPr>
        <w:t xml:space="preserve">m), the net current year revaluation </w:t>
      </w:r>
      <w:r>
        <w:rPr>
          <w:rFonts w:cs="Arial"/>
          <w:szCs w:val="24"/>
        </w:rPr>
        <w:t xml:space="preserve">deficit </w:t>
      </w:r>
      <w:r w:rsidRPr="00363F6D">
        <w:rPr>
          <w:rFonts w:cs="Arial"/>
          <w:szCs w:val="24"/>
        </w:rPr>
        <w:t>(£</w:t>
      </w:r>
      <w:r>
        <w:rPr>
          <w:rFonts w:cs="Arial"/>
          <w:szCs w:val="24"/>
        </w:rPr>
        <w:t>15</w:t>
      </w:r>
      <w:r w:rsidRPr="00363F6D">
        <w:rPr>
          <w:rFonts w:cs="Arial"/>
          <w:szCs w:val="24"/>
        </w:rPr>
        <w:t xml:space="preserve">m), and </w:t>
      </w:r>
      <w:r>
        <w:rPr>
          <w:rFonts w:cs="Arial"/>
          <w:szCs w:val="24"/>
        </w:rPr>
        <w:t>further</w:t>
      </w:r>
      <w:r w:rsidRPr="00363F6D">
        <w:rPr>
          <w:rFonts w:cs="Arial"/>
          <w:szCs w:val="24"/>
        </w:rPr>
        <w:t xml:space="preserve"> offset by depreciation (£3</w:t>
      </w:r>
      <w:r>
        <w:rPr>
          <w:rFonts w:cs="Arial"/>
          <w:szCs w:val="24"/>
        </w:rPr>
        <w:t>3</w:t>
      </w:r>
      <w:r w:rsidRPr="00363F6D">
        <w:rPr>
          <w:rFonts w:cs="Arial"/>
          <w:szCs w:val="24"/>
        </w:rPr>
        <w:t>m) and disposals (£</w:t>
      </w:r>
      <w:r>
        <w:rPr>
          <w:rFonts w:cs="Arial"/>
          <w:szCs w:val="24"/>
        </w:rPr>
        <w:t>39</w:t>
      </w:r>
      <w:r w:rsidRPr="00363F6D">
        <w:rPr>
          <w:rFonts w:cs="Arial"/>
          <w:szCs w:val="24"/>
        </w:rPr>
        <w:t>m).</w:t>
      </w:r>
    </w:p>
    <w:p w:rsidR="0004605C" w:rsidRPr="00363F6D" w:rsidRDefault="0004605C" w:rsidP="0004605C">
      <w:pPr>
        <w:ind w:left="720"/>
        <w:rPr>
          <w:rFonts w:cs="Arial"/>
          <w:szCs w:val="24"/>
        </w:rPr>
      </w:pPr>
    </w:p>
    <w:p w:rsidR="0004605C" w:rsidRPr="00363F6D" w:rsidRDefault="0004605C" w:rsidP="0004605C">
      <w:pPr>
        <w:numPr>
          <w:ilvl w:val="0"/>
          <w:numId w:val="17"/>
        </w:numPr>
        <w:rPr>
          <w:rFonts w:cs="Arial"/>
          <w:szCs w:val="24"/>
        </w:rPr>
      </w:pPr>
      <w:r w:rsidRPr="00363F6D">
        <w:rPr>
          <w:rFonts w:cs="Arial"/>
          <w:szCs w:val="24"/>
        </w:rPr>
        <w:t>Short Term Debtors ha</w:t>
      </w:r>
      <w:r>
        <w:rPr>
          <w:rFonts w:cs="Arial"/>
          <w:szCs w:val="24"/>
        </w:rPr>
        <w:t>ve</w:t>
      </w:r>
      <w:r w:rsidRPr="00363F6D">
        <w:rPr>
          <w:rFonts w:cs="Arial"/>
          <w:szCs w:val="24"/>
        </w:rPr>
        <w:t xml:space="preserve"> </w:t>
      </w:r>
      <w:r>
        <w:rPr>
          <w:rFonts w:cs="Arial"/>
          <w:szCs w:val="24"/>
        </w:rPr>
        <w:t xml:space="preserve">decreased </w:t>
      </w:r>
      <w:r w:rsidRPr="00363F6D">
        <w:rPr>
          <w:rFonts w:cs="Arial"/>
          <w:szCs w:val="24"/>
        </w:rPr>
        <w:t>by £1</w:t>
      </w:r>
      <w:r>
        <w:rPr>
          <w:rFonts w:cs="Arial"/>
          <w:szCs w:val="24"/>
        </w:rPr>
        <w:t>0m</w:t>
      </w:r>
      <w:r w:rsidRPr="00363F6D">
        <w:rPr>
          <w:rFonts w:cs="Arial"/>
          <w:szCs w:val="24"/>
        </w:rPr>
        <w:t xml:space="preserve"> </w:t>
      </w:r>
      <w:r>
        <w:rPr>
          <w:rFonts w:cs="Arial"/>
          <w:szCs w:val="24"/>
        </w:rPr>
        <w:t xml:space="preserve">compared to </w:t>
      </w:r>
      <w:r w:rsidRPr="00363F6D">
        <w:rPr>
          <w:rFonts w:cs="Arial"/>
          <w:szCs w:val="24"/>
        </w:rPr>
        <w:t xml:space="preserve">2017-18. </w:t>
      </w:r>
      <w:r>
        <w:rPr>
          <w:rFonts w:cs="Arial"/>
          <w:szCs w:val="24"/>
        </w:rPr>
        <w:t>Improved invoicing procedures have reduced the level of year end short term debtors.</w:t>
      </w:r>
    </w:p>
    <w:p w:rsidR="0004605C" w:rsidRPr="00363F6D" w:rsidRDefault="0004605C" w:rsidP="0004605C">
      <w:pPr>
        <w:pStyle w:val="ListParagraph"/>
        <w:rPr>
          <w:sz w:val="24"/>
          <w:szCs w:val="24"/>
        </w:rPr>
      </w:pPr>
    </w:p>
    <w:p w:rsidR="0004605C" w:rsidRPr="00363F6D" w:rsidRDefault="0004605C" w:rsidP="0004605C">
      <w:pPr>
        <w:numPr>
          <w:ilvl w:val="0"/>
          <w:numId w:val="17"/>
        </w:numPr>
        <w:rPr>
          <w:rFonts w:cs="Arial"/>
          <w:szCs w:val="24"/>
        </w:rPr>
      </w:pPr>
      <w:r w:rsidRPr="00363F6D">
        <w:rPr>
          <w:rFonts w:cs="Arial"/>
          <w:szCs w:val="24"/>
        </w:rPr>
        <w:lastRenderedPageBreak/>
        <w:t xml:space="preserve">Cash and Cash Equivalents </w:t>
      </w:r>
      <w:r>
        <w:rPr>
          <w:rFonts w:cs="Arial"/>
          <w:szCs w:val="24"/>
        </w:rPr>
        <w:t xml:space="preserve">increased </w:t>
      </w:r>
      <w:r w:rsidRPr="00363F6D">
        <w:rPr>
          <w:rFonts w:cs="Arial"/>
          <w:szCs w:val="24"/>
        </w:rPr>
        <w:t>by £</w:t>
      </w:r>
      <w:r>
        <w:rPr>
          <w:rFonts w:cs="Arial"/>
          <w:szCs w:val="24"/>
        </w:rPr>
        <w:t>6</w:t>
      </w:r>
      <w:r w:rsidRPr="00363F6D">
        <w:rPr>
          <w:rFonts w:cs="Arial"/>
          <w:szCs w:val="24"/>
        </w:rPr>
        <w:t>m</w:t>
      </w:r>
      <w:r>
        <w:rPr>
          <w:rFonts w:cs="Arial"/>
          <w:szCs w:val="24"/>
        </w:rPr>
        <w:t xml:space="preserve"> through short term deposits being held with banks and building societies.</w:t>
      </w:r>
      <w:r w:rsidRPr="00363F6D">
        <w:rPr>
          <w:rFonts w:cs="Arial"/>
          <w:szCs w:val="24"/>
        </w:rPr>
        <w:t xml:space="preserve"> </w:t>
      </w:r>
    </w:p>
    <w:p w:rsidR="0004605C" w:rsidRPr="00363F6D" w:rsidRDefault="0004605C" w:rsidP="0004605C">
      <w:pPr>
        <w:ind w:left="720"/>
        <w:rPr>
          <w:rFonts w:cs="Arial"/>
          <w:szCs w:val="24"/>
        </w:rPr>
      </w:pPr>
    </w:p>
    <w:p w:rsidR="0004605C" w:rsidRPr="00363F6D" w:rsidRDefault="0004605C" w:rsidP="0004605C">
      <w:pPr>
        <w:numPr>
          <w:ilvl w:val="0"/>
          <w:numId w:val="17"/>
        </w:numPr>
        <w:rPr>
          <w:rFonts w:cs="Arial"/>
          <w:szCs w:val="24"/>
        </w:rPr>
      </w:pPr>
      <w:r w:rsidRPr="00363F6D">
        <w:rPr>
          <w:rFonts w:cs="Arial"/>
          <w:szCs w:val="24"/>
        </w:rPr>
        <w:t xml:space="preserve">Other Long Term Liabilities </w:t>
      </w:r>
      <w:r>
        <w:rPr>
          <w:rFonts w:cs="Arial"/>
          <w:szCs w:val="24"/>
        </w:rPr>
        <w:t xml:space="preserve">increased </w:t>
      </w:r>
      <w:r w:rsidRPr="00363F6D">
        <w:rPr>
          <w:rFonts w:cs="Arial"/>
          <w:szCs w:val="24"/>
        </w:rPr>
        <w:t>by £</w:t>
      </w:r>
      <w:r>
        <w:rPr>
          <w:rFonts w:cs="Arial"/>
          <w:szCs w:val="24"/>
        </w:rPr>
        <w:t>50</w:t>
      </w:r>
      <w:r w:rsidRPr="00363F6D">
        <w:rPr>
          <w:rFonts w:cs="Arial"/>
          <w:szCs w:val="24"/>
        </w:rPr>
        <w:t>m due to a</w:t>
      </w:r>
      <w:r>
        <w:rPr>
          <w:rFonts w:cs="Arial"/>
          <w:szCs w:val="24"/>
        </w:rPr>
        <w:t>n increase</w:t>
      </w:r>
      <w:r w:rsidRPr="00363F6D">
        <w:rPr>
          <w:rFonts w:cs="Arial"/>
          <w:szCs w:val="24"/>
        </w:rPr>
        <w:t xml:space="preserve"> in IAS19 Pension Liabilities. </w:t>
      </w:r>
    </w:p>
    <w:p w:rsidR="0004605C" w:rsidRPr="00363F6D" w:rsidRDefault="0004605C" w:rsidP="0004605C">
      <w:pPr>
        <w:ind w:left="720"/>
        <w:rPr>
          <w:rFonts w:cs="Arial"/>
          <w:szCs w:val="24"/>
        </w:rPr>
      </w:pPr>
    </w:p>
    <w:p w:rsidR="0004605C" w:rsidRPr="00363F6D" w:rsidRDefault="0004605C" w:rsidP="0004605C">
      <w:pPr>
        <w:numPr>
          <w:ilvl w:val="0"/>
          <w:numId w:val="17"/>
        </w:numPr>
        <w:rPr>
          <w:rFonts w:cs="Arial"/>
          <w:szCs w:val="24"/>
        </w:rPr>
      </w:pPr>
      <w:r w:rsidRPr="00363F6D">
        <w:rPr>
          <w:rFonts w:cs="Arial"/>
          <w:szCs w:val="24"/>
        </w:rPr>
        <w:t xml:space="preserve">As a consequence of the movements within the net assets section of the Balance Sheet </w:t>
      </w:r>
      <w:r>
        <w:rPr>
          <w:rFonts w:cs="Arial"/>
          <w:szCs w:val="24"/>
        </w:rPr>
        <w:t>u</w:t>
      </w:r>
      <w:r w:rsidRPr="00363F6D">
        <w:rPr>
          <w:rFonts w:cs="Arial"/>
          <w:szCs w:val="24"/>
        </w:rPr>
        <w:t xml:space="preserve">sable </w:t>
      </w:r>
      <w:r>
        <w:rPr>
          <w:rFonts w:cs="Arial"/>
          <w:szCs w:val="24"/>
        </w:rPr>
        <w:t>r</w:t>
      </w:r>
      <w:r w:rsidRPr="00363F6D">
        <w:rPr>
          <w:rFonts w:cs="Arial"/>
          <w:szCs w:val="24"/>
        </w:rPr>
        <w:t>eserves have increased by £</w:t>
      </w:r>
      <w:r>
        <w:rPr>
          <w:rFonts w:cs="Arial"/>
          <w:szCs w:val="24"/>
        </w:rPr>
        <w:t>23</w:t>
      </w:r>
      <w:r w:rsidRPr="00363F6D">
        <w:rPr>
          <w:rFonts w:cs="Arial"/>
          <w:szCs w:val="24"/>
        </w:rPr>
        <w:t>m to £1</w:t>
      </w:r>
      <w:r>
        <w:rPr>
          <w:rFonts w:cs="Arial"/>
          <w:szCs w:val="24"/>
        </w:rPr>
        <w:t>34</w:t>
      </w:r>
      <w:r w:rsidRPr="00363F6D">
        <w:rPr>
          <w:rFonts w:cs="Arial"/>
          <w:szCs w:val="24"/>
        </w:rPr>
        <w:t xml:space="preserve">m </w:t>
      </w:r>
      <w:r>
        <w:rPr>
          <w:rFonts w:cs="Arial"/>
          <w:szCs w:val="24"/>
        </w:rPr>
        <w:t>while u</w:t>
      </w:r>
      <w:r w:rsidRPr="00363F6D">
        <w:rPr>
          <w:rFonts w:cs="Arial"/>
          <w:szCs w:val="24"/>
        </w:rPr>
        <w:t xml:space="preserve">nusable </w:t>
      </w:r>
      <w:r>
        <w:rPr>
          <w:rFonts w:cs="Arial"/>
          <w:szCs w:val="24"/>
        </w:rPr>
        <w:t>r</w:t>
      </w:r>
      <w:r w:rsidRPr="00363F6D">
        <w:rPr>
          <w:rFonts w:cs="Arial"/>
          <w:szCs w:val="24"/>
        </w:rPr>
        <w:t xml:space="preserve">eserves have </w:t>
      </w:r>
      <w:r>
        <w:rPr>
          <w:rFonts w:cs="Arial"/>
          <w:szCs w:val="24"/>
        </w:rPr>
        <w:t>decreased</w:t>
      </w:r>
      <w:r w:rsidRPr="00363F6D">
        <w:rPr>
          <w:rFonts w:cs="Arial"/>
          <w:szCs w:val="24"/>
        </w:rPr>
        <w:t xml:space="preserve"> by £</w:t>
      </w:r>
      <w:r>
        <w:rPr>
          <w:rFonts w:cs="Arial"/>
          <w:szCs w:val="24"/>
        </w:rPr>
        <w:t>125</w:t>
      </w:r>
      <w:r w:rsidRPr="00363F6D">
        <w:rPr>
          <w:rFonts w:cs="Arial"/>
          <w:szCs w:val="24"/>
        </w:rPr>
        <w:t>m to £</w:t>
      </w:r>
      <w:r>
        <w:rPr>
          <w:rFonts w:cs="Arial"/>
          <w:szCs w:val="24"/>
        </w:rPr>
        <w:t>298</w:t>
      </w:r>
      <w:r w:rsidRPr="00363F6D">
        <w:rPr>
          <w:rFonts w:cs="Arial"/>
          <w:szCs w:val="24"/>
        </w:rPr>
        <w:t>m giving a total balance sheet worth of £</w:t>
      </w:r>
      <w:r>
        <w:rPr>
          <w:rFonts w:cs="Arial"/>
          <w:szCs w:val="24"/>
        </w:rPr>
        <w:t>432</w:t>
      </w:r>
      <w:r w:rsidRPr="00363F6D">
        <w:rPr>
          <w:rFonts w:cs="Arial"/>
          <w:szCs w:val="24"/>
        </w:rPr>
        <w:t xml:space="preserve">m </w:t>
      </w:r>
    </w:p>
    <w:p w:rsidR="0004605C" w:rsidRPr="00363F6D" w:rsidRDefault="0004605C" w:rsidP="0004605C">
      <w:pPr>
        <w:ind w:left="720"/>
        <w:rPr>
          <w:rFonts w:cs="Arial"/>
          <w:szCs w:val="24"/>
        </w:rPr>
      </w:pPr>
    </w:p>
    <w:p w:rsidR="0004605C" w:rsidRDefault="0004605C" w:rsidP="0004605C">
      <w:pPr>
        <w:numPr>
          <w:ilvl w:val="0"/>
          <w:numId w:val="17"/>
        </w:numPr>
        <w:rPr>
          <w:rFonts w:cs="Arial"/>
          <w:szCs w:val="24"/>
        </w:rPr>
      </w:pPr>
      <w:r w:rsidRPr="00363F6D">
        <w:rPr>
          <w:rFonts w:cs="Arial"/>
          <w:szCs w:val="24"/>
        </w:rPr>
        <w:t xml:space="preserve">The </w:t>
      </w:r>
      <w:r w:rsidRPr="00363F6D">
        <w:rPr>
          <w:rFonts w:cs="Arial"/>
          <w:b/>
          <w:szCs w:val="24"/>
        </w:rPr>
        <w:t>Cash Flow</w:t>
      </w:r>
      <w:r w:rsidRPr="00363F6D">
        <w:rPr>
          <w:rFonts w:cs="Arial"/>
          <w:szCs w:val="24"/>
        </w:rPr>
        <w:t xml:space="preserve"> statement at section 4.</w:t>
      </w:r>
      <w:r>
        <w:rPr>
          <w:rFonts w:cs="Arial"/>
          <w:szCs w:val="24"/>
        </w:rPr>
        <w:t>4</w:t>
      </w:r>
      <w:r w:rsidRPr="00363F6D">
        <w:rPr>
          <w:rFonts w:cs="Arial"/>
          <w:szCs w:val="24"/>
        </w:rPr>
        <w:t xml:space="preserve"> shows how the Council generates and uses cash. There has been no amendment to the version reported </w:t>
      </w:r>
      <w:r>
        <w:rPr>
          <w:rFonts w:cs="Arial"/>
          <w:szCs w:val="24"/>
        </w:rPr>
        <w:t xml:space="preserve">in the original draft </w:t>
      </w:r>
      <w:r w:rsidRPr="00363F6D">
        <w:rPr>
          <w:rFonts w:cs="Arial"/>
          <w:szCs w:val="24"/>
        </w:rPr>
        <w:t xml:space="preserve">accounts. </w:t>
      </w:r>
    </w:p>
    <w:p w:rsidR="0042335D" w:rsidRDefault="0042335D" w:rsidP="0042335D">
      <w:pPr>
        <w:pStyle w:val="ListParagraph"/>
        <w:rPr>
          <w:szCs w:val="24"/>
        </w:rPr>
      </w:pPr>
    </w:p>
    <w:p w:rsidR="0042335D" w:rsidRPr="00363F6D" w:rsidRDefault="0042335D" w:rsidP="0004605C">
      <w:pPr>
        <w:numPr>
          <w:ilvl w:val="0"/>
          <w:numId w:val="17"/>
        </w:numPr>
        <w:rPr>
          <w:rFonts w:cs="Arial"/>
          <w:szCs w:val="24"/>
        </w:rPr>
      </w:pPr>
      <w:r>
        <w:rPr>
          <w:rFonts w:cs="Arial"/>
          <w:szCs w:val="24"/>
        </w:rPr>
        <w:t xml:space="preserve">The </w:t>
      </w:r>
      <w:r w:rsidRPr="0042335D">
        <w:rPr>
          <w:rFonts w:cs="Arial"/>
          <w:b/>
          <w:szCs w:val="24"/>
        </w:rPr>
        <w:t>Expenditure and Funding Analysis (EFA)</w:t>
      </w:r>
      <w:r>
        <w:rPr>
          <w:rFonts w:cs="Arial"/>
          <w:szCs w:val="24"/>
        </w:rPr>
        <w:t xml:space="preserve"> at 5.5 shows how resources and expenditure are allocated </w:t>
      </w:r>
      <w:r w:rsidR="00DF69EE">
        <w:rPr>
          <w:rFonts w:cs="Arial"/>
          <w:szCs w:val="24"/>
        </w:rPr>
        <w:t xml:space="preserve">for decision making purposes between the Council’s directorates and then compared with the true economic cost of providing services in accordance with proper accounting practices set by the regulations. </w:t>
      </w:r>
      <w:r>
        <w:rPr>
          <w:rFonts w:cs="Arial"/>
          <w:szCs w:val="24"/>
        </w:rPr>
        <w:t xml:space="preserve"> </w:t>
      </w:r>
    </w:p>
    <w:p w:rsidR="0004605C" w:rsidRPr="00363F6D" w:rsidRDefault="0004605C" w:rsidP="0004605C">
      <w:pPr>
        <w:ind w:left="720"/>
        <w:rPr>
          <w:rFonts w:cs="Arial"/>
          <w:szCs w:val="24"/>
        </w:rPr>
      </w:pPr>
    </w:p>
    <w:p w:rsidR="0004605C" w:rsidRPr="00363F6D" w:rsidRDefault="0004605C" w:rsidP="0004605C">
      <w:pPr>
        <w:numPr>
          <w:ilvl w:val="0"/>
          <w:numId w:val="17"/>
        </w:numPr>
        <w:rPr>
          <w:rFonts w:cs="Arial"/>
          <w:szCs w:val="24"/>
        </w:rPr>
      </w:pPr>
      <w:r w:rsidRPr="00363F6D">
        <w:rPr>
          <w:rFonts w:cs="Arial"/>
          <w:szCs w:val="24"/>
        </w:rPr>
        <w:t xml:space="preserve">The </w:t>
      </w:r>
      <w:r w:rsidRPr="00363F6D">
        <w:rPr>
          <w:rFonts w:cs="Arial"/>
          <w:b/>
          <w:szCs w:val="24"/>
        </w:rPr>
        <w:t>Housing Revenue Account (HRA)</w:t>
      </w:r>
      <w:r w:rsidRPr="00363F6D">
        <w:rPr>
          <w:rFonts w:cs="Arial"/>
          <w:szCs w:val="24"/>
        </w:rPr>
        <w:t xml:space="preserve"> at 6.1 </w:t>
      </w:r>
      <w:r w:rsidR="008E3D8F">
        <w:rPr>
          <w:rFonts w:cs="Arial"/>
          <w:szCs w:val="24"/>
        </w:rPr>
        <w:t xml:space="preserve">shows the transactions relating to the provision, maintenance and management of the Council’s housing stock. </w:t>
      </w:r>
      <w:r w:rsidRPr="00363F6D">
        <w:rPr>
          <w:rFonts w:cs="Arial"/>
          <w:szCs w:val="24"/>
        </w:rPr>
        <w:t xml:space="preserve">The account shows a </w:t>
      </w:r>
      <w:r w:rsidR="008E3D8F">
        <w:rPr>
          <w:rFonts w:cs="Arial"/>
          <w:szCs w:val="24"/>
        </w:rPr>
        <w:t xml:space="preserve">neutral position for the year leaving revenue balances unchanged at </w:t>
      </w:r>
      <w:r w:rsidRPr="00363F6D">
        <w:rPr>
          <w:rFonts w:cs="Arial"/>
          <w:szCs w:val="24"/>
        </w:rPr>
        <w:t>£7.</w:t>
      </w:r>
      <w:r>
        <w:rPr>
          <w:rFonts w:cs="Arial"/>
          <w:szCs w:val="24"/>
        </w:rPr>
        <w:t>5</w:t>
      </w:r>
      <w:r w:rsidRPr="00363F6D">
        <w:rPr>
          <w:rFonts w:cs="Arial"/>
          <w:szCs w:val="24"/>
        </w:rPr>
        <w:t xml:space="preserve">m.  </w:t>
      </w:r>
    </w:p>
    <w:p w:rsidR="0004605C" w:rsidRPr="00363F6D" w:rsidRDefault="0004605C" w:rsidP="0004605C">
      <w:pPr>
        <w:ind w:left="720"/>
        <w:rPr>
          <w:rFonts w:cs="Arial"/>
          <w:szCs w:val="24"/>
        </w:rPr>
      </w:pPr>
    </w:p>
    <w:p w:rsidR="0004605C" w:rsidRPr="00AC6197" w:rsidRDefault="0004605C" w:rsidP="0004605C">
      <w:pPr>
        <w:numPr>
          <w:ilvl w:val="0"/>
          <w:numId w:val="17"/>
        </w:numPr>
        <w:rPr>
          <w:rFonts w:cs="Arial"/>
          <w:szCs w:val="24"/>
        </w:rPr>
      </w:pPr>
      <w:r w:rsidRPr="00363F6D">
        <w:rPr>
          <w:rFonts w:cs="Arial"/>
          <w:szCs w:val="24"/>
        </w:rPr>
        <w:t xml:space="preserve">The </w:t>
      </w:r>
      <w:r w:rsidRPr="00363F6D">
        <w:rPr>
          <w:rFonts w:cs="Arial"/>
          <w:b/>
          <w:szCs w:val="24"/>
        </w:rPr>
        <w:t xml:space="preserve">Collection Fund </w:t>
      </w:r>
      <w:r w:rsidRPr="00363F6D">
        <w:rPr>
          <w:rFonts w:cs="Arial"/>
          <w:szCs w:val="24"/>
        </w:rPr>
        <w:t xml:space="preserve">statement at 7.1 shows </w:t>
      </w:r>
      <w:r w:rsidR="00F60DFD">
        <w:rPr>
          <w:rFonts w:cs="Arial"/>
          <w:szCs w:val="24"/>
        </w:rPr>
        <w:t xml:space="preserve">the </w:t>
      </w:r>
      <w:r>
        <w:rPr>
          <w:rFonts w:cs="Arial"/>
          <w:szCs w:val="24"/>
        </w:rPr>
        <w:t xml:space="preserve">overall carried forward </w:t>
      </w:r>
      <w:r w:rsidRPr="00363F6D">
        <w:rPr>
          <w:rFonts w:cs="Arial"/>
          <w:szCs w:val="24"/>
        </w:rPr>
        <w:t xml:space="preserve">net </w:t>
      </w:r>
      <w:r>
        <w:rPr>
          <w:rFonts w:cs="Arial"/>
          <w:szCs w:val="24"/>
        </w:rPr>
        <w:t xml:space="preserve">surplus </w:t>
      </w:r>
      <w:r w:rsidRPr="00363F6D">
        <w:rPr>
          <w:rFonts w:cs="Arial"/>
          <w:szCs w:val="24"/>
        </w:rPr>
        <w:t>of £</w:t>
      </w:r>
      <w:r>
        <w:rPr>
          <w:rFonts w:cs="Arial"/>
          <w:szCs w:val="24"/>
        </w:rPr>
        <w:t>3.2m.</w:t>
      </w:r>
    </w:p>
    <w:p w:rsidR="0004605C" w:rsidRPr="00363F6D" w:rsidRDefault="0004605C" w:rsidP="0004605C">
      <w:pPr>
        <w:ind w:left="720"/>
        <w:rPr>
          <w:rFonts w:cs="Arial"/>
          <w:szCs w:val="24"/>
        </w:rPr>
      </w:pPr>
    </w:p>
    <w:p w:rsidR="0004605C" w:rsidRDefault="0004605C" w:rsidP="0004605C">
      <w:pPr>
        <w:numPr>
          <w:ilvl w:val="0"/>
          <w:numId w:val="17"/>
        </w:numPr>
        <w:rPr>
          <w:rFonts w:cs="Arial"/>
          <w:szCs w:val="24"/>
        </w:rPr>
      </w:pPr>
      <w:r w:rsidRPr="00CF0D22">
        <w:rPr>
          <w:rFonts w:cs="Arial"/>
          <w:szCs w:val="24"/>
        </w:rPr>
        <w:t xml:space="preserve">Net assets of the </w:t>
      </w:r>
      <w:r w:rsidRPr="00CF0D22">
        <w:rPr>
          <w:rFonts w:cs="Arial"/>
          <w:b/>
          <w:szCs w:val="24"/>
        </w:rPr>
        <w:t>Pension Fund</w:t>
      </w:r>
      <w:r w:rsidRPr="00CF0D22">
        <w:rPr>
          <w:rFonts w:cs="Arial"/>
          <w:szCs w:val="24"/>
        </w:rPr>
        <w:t xml:space="preserve"> at 9.0 of the Pension Fund Financial Statement at year end are £851m. This has increased by £35m from the previous year due mainly to increases in the market value of investments.</w:t>
      </w:r>
    </w:p>
    <w:p w:rsidR="00585222" w:rsidRDefault="00585222" w:rsidP="00585222">
      <w:pPr>
        <w:pStyle w:val="ListParagraph"/>
        <w:rPr>
          <w:szCs w:val="24"/>
        </w:rPr>
      </w:pPr>
    </w:p>
    <w:p w:rsidR="00585222" w:rsidRDefault="00585222" w:rsidP="0004605C">
      <w:pPr>
        <w:numPr>
          <w:ilvl w:val="0"/>
          <w:numId w:val="17"/>
        </w:numPr>
        <w:rPr>
          <w:rFonts w:cs="Arial"/>
          <w:szCs w:val="24"/>
        </w:rPr>
      </w:pPr>
      <w:r>
        <w:rPr>
          <w:rFonts w:cs="Arial"/>
          <w:szCs w:val="24"/>
        </w:rPr>
        <w:t xml:space="preserve">Officers have recently received updated reports from the Council’s actuary on the effects of </w:t>
      </w:r>
      <w:r w:rsidR="00A967D8">
        <w:rPr>
          <w:rFonts w:cs="Arial"/>
          <w:szCs w:val="24"/>
        </w:rPr>
        <w:t xml:space="preserve">two national issues for Pension Funds, being </w:t>
      </w:r>
      <w:r>
        <w:rPr>
          <w:rFonts w:cs="Arial"/>
          <w:szCs w:val="24"/>
        </w:rPr>
        <w:t xml:space="preserve">the Guaranteed Minimum Pension (GMP) and McCloud cases.  </w:t>
      </w:r>
      <w:r w:rsidR="00A967D8">
        <w:rPr>
          <w:rFonts w:cs="Arial"/>
          <w:szCs w:val="24"/>
        </w:rPr>
        <w:t>L</w:t>
      </w:r>
      <w:r>
        <w:rPr>
          <w:rFonts w:cs="Arial"/>
          <w:szCs w:val="24"/>
        </w:rPr>
        <w:t xml:space="preserve">iabilities </w:t>
      </w:r>
      <w:r w:rsidR="00A967D8">
        <w:rPr>
          <w:rFonts w:cs="Arial"/>
          <w:szCs w:val="24"/>
        </w:rPr>
        <w:t>f</w:t>
      </w:r>
      <w:r w:rsidR="00383E25">
        <w:rPr>
          <w:rFonts w:cs="Arial"/>
          <w:szCs w:val="24"/>
        </w:rPr>
        <w:t>rom</w:t>
      </w:r>
      <w:r w:rsidR="00A967D8">
        <w:rPr>
          <w:rFonts w:cs="Arial"/>
          <w:szCs w:val="24"/>
        </w:rPr>
        <w:t xml:space="preserve"> the </w:t>
      </w:r>
      <w:r>
        <w:rPr>
          <w:rFonts w:cs="Arial"/>
          <w:szCs w:val="24"/>
        </w:rPr>
        <w:t>reports are approximately £1.9m</w:t>
      </w:r>
      <w:r w:rsidR="00A967D8">
        <w:rPr>
          <w:rFonts w:cs="Arial"/>
          <w:szCs w:val="24"/>
        </w:rPr>
        <w:t xml:space="preserve"> for each case</w:t>
      </w:r>
      <w:r w:rsidR="00D04F7A">
        <w:rPr>
          <w:rFonts w:cs="Arial"/>
          <w:szCs w:val="24"/>
        </w:rPr>
        <w:t>, for</w:t>
      </w:r>
      <w:r w:rsidR="00A967D8">
        <w:rPr>
          <w:rFonts w:cs="Arial"/>
          <w:szCs w:val="24"/>
        </w:rPr>
        <w:t xml:space="preserve"> </w:t>
      </w:r>
      <w:r>
        <w:rPr>
          <w:rFonts w:cs="Arial"/>
          <w:szCs w:val="24"/>
        </w:rPr>
        <w:t>which the Authority considers</w:t>
      </w:r>
      <w:r w:rsidR="00D04F7A">
        <w:rPr>
          <w:rFonts w:cs="Arial"/>
          <w:szCs w:val="24"/>
        </w:rPr>
        <w:t xml:space="preserve"> these </w:t>
      </w:r>
      <w:r>
        <w:rPr>
          <w:rFonts w:cs="Arial"/>
          <w:szCs w:val="24"/>
        </w:rPr>
        <w:t xml:space="preserve">immaterial to be included within the accounts either in the figures or as a disclosure note in the accounts.   </w:t>
      </w:r>
    </w:p>
    <w:p w:rsidR="0004605C" w:rsidRPr="00CF0D22" w:rsidRDefault="0004605C" w:rsidP="0004605C">
      <w:pPr>
        <w:ind w:left="864"/>
        <w:rPr>
          <w:rFonts w:cs="Arial"/>
          <w:szCs w:val="24"/>
        </w:rPr>
      </w:pPr>
    </w:p>
    <w:p w:rsidR="007D2A6C" w:rsidRDefault="0004605C" w:rsidP="007D2A6C">
      <w:pPr>
        <w:numPr>
          <w:ilvl w:val="0"/>
          <w:numId w:val="17"/>
        </w:numPr>
        <w:rPr>
          <w:rFonts w:cs="Arial"/>
          <w:szCs w:val="24"/>
        </w:rPr>
      </w:pPr>
      <w:r w:rsidRPr="00363F6D">
        <w:rPr>
          <w:rFonts w:cs="Arial"/>
          <w:szCs w:val="24"/>
        </w:rPr>
        <w:t xml:space="preserve">The </w:t>
      </w:r>
      <w:r w:rsidR="00C53F25">
        <w:rPr>
          <w:rFonts w:cs="Arial"/>
          <w:szCs w:val="24"/>
        </w:rPr>
        <w:t>Audit Completion Report</w:t>
      </w:r>
      <w:r w:rsidR="00FB5D54">
        <w:rPr>
          <w:rFonts w:cs="Arial"/>
          <w:szCs w:val="24"/>
        </w:rPr>
        <w:t>s</w:t>
      </w:r>
      <w:r w:rsidR="00C53F25">
        <w:rPr>
          <w:rFonts w:cs="Arial"/>
          <w:szCs w:val="24"/>
        </w:rPr>
        <w:t xml:space="preserve"> </w:t>
      </w:r>
      <w:r w:rsidRPr="00363F6D">
        <w:rPr>
          <w:rFonts w:cs="Arial"/>
          <w:szCs w:val="24"/>
        </w:rPr>
        <w:t>contain matters raised by the auditor</w:t>
      </w:r>
      <w:r w:rsidR="00C53F25">
        <w:rPr>
          <w:rFonts w:cs="Arial"/>
          <w:szCs w:val="24"/>
        </w:rPr>
        <w:t xml:space="preserve">, their </w:t>
      </w:r>
      <w:r w:rsidR="00BB2FFD">
        <w:rPr>
          <w:rFonts w:cs="Arial"/>
          <w:szCs w:val="24"/>
        </w:rPr>
        <w:t xml:space="preserve">findings, the Value for Money conclusion, </w:t>
      </w:r>
      <w:r w:rsidR="00F60DFD">
        <w:rPr>
          <w:rFonts w:cs="Arial"/>
          <w:szCs w:val="24"/>
        </w:rPr>
        <w:t xml:space="preserve">the </w:t>
      </w:r>
      <w:r w:rsidR="00BB2FFD">
        <w:rPr>
          <w:rFonts w:cs="Arial"/>
          <w:szCs w:val="24"/>
        </w:rPr>
        <w:t>draft management letter and the draft auditors report.</w:t>
      </w:r>
      <w:r w:rsidRPr="00363F6D">
        <w:rPr>
          <w:rFonts w:cs="Arial"/>
          <w:szCs w:val="24"/>
        </w:rPr>
        <w:t xml:space="preserve"> Any further update on </w:t>
      </w:r>
      <w:r w:rsidR="0042335D">
        <w:rPr>
          <w:rFonts w:cs="Arial"/>
          <w:szCs w:val="24"/>
        </w:rPr>
        <w:t>the status of the audit work</w:t>
      </w:r>
      <w:r w:rsidRPr="00363F6D">
        <w:rPr>
          <w:rFonts w:cs="Arial"/>
          <w:szCs w:val="24"/>
        </w:rPr>
        <w:t xml:space="preserve"> will be given verbally at the meeting.</w:t>
      </w:r>
    </w:p>
    <w:p w:rsidR="0004605C" w:rsidRDefault="0004605C" w:rsidP="007D2A6C">
      <w:pPr>
        <w:ind w:left="864"/>
        <w:rPr>
          <w:rFonts w:cs="Arial"/>
          <w:szCs w:val="24"/>
        </w:rPr>
      </w:pPr>
      <w:r w:rsidRPr="00363F6D">
        <w:rPr>
          <w:rFonts w:cs="Arial"/>
          <w:szCs w:val="24"/>
        </w:rPr>
        <w:t xml:space="preserve">  </w:t>
      </w:r>
    </w:p>
    <w:p w:rsidR="00E41129" w:rsidRDefault="00E41129" w:rsidP="00E41129">
      <w:pPr>
        <w:pStyle w:val="Heading2"/>
      </w:pPr>
      <w:r>
        <w:t>Legal Implications</w:t>
      </w:r>
    </w:p>
    <w:p w:rsidR="00E41129" w:rsidRPr="00E41129" w:rsidRDefault="00E41129" w:rsidP="00E41129"/>
    <w:p w:rsidR="00E41129" w:rsidRPr="00363F6D" w:rsidRDefault="00E41129" w:rsidP="00E41129">
      <w:pPr>
        <w:numPr>
          <w:ilvl w:val="0"/>
          <w:numId w:val="17"/>
        </w:numPr>
        <w:jc w:val="both"/>
        <w:rPr>
          <w:rFonts w:cs="Arial"/>
          <w:szCs w:val="24"/>
        </w:rPr>
      </w:pPr>
      <w:r w:rsidRPr="00363F6D">
        <w:rPr>
          <w:rFonts w:cs="Arial"/>
          <w:szCs w:val="24"/>
        </w:rPr>
        <w:t xml:space="preserve">There are no direct </w:t>
      </w:r>
      <w:r w:rsidR="00D53A8B">
        <w:rPr>
          <w:rFonts w:cs="Arial"/>
          <w:szCs w:val="24"/>
        </w:rPr>
        <w:t>legal</w:t>
      </w:r>
      <w:r w:rsidRPr="00363F6D">
        <w:rPr>
          <w:rFonts w:cs="Arial"/>
          <w:szCs w:val="24"/>
        </w:rPr>
        <w:t xml:space="preserve"> implications arising from this report.</w:t>
      </w:r>
    </w:p>
    <w:p w:rsidR="00E41129" w:rsidRDefault="00E41129" w:rsidP="00E41129">
      <w:pPr>
        <w:ind w:left="864"/>
        <w:rPr>
          <w:rFonts w:cs="Arial"/>
          <w:szCs w:val="24"/>
        </w:rPr>
      </w:pPr>
    </w:p>
    <w:p w:rsidR="005B321C" w:rsidRDefault="005B321C" w:rsidP="00E41129">
      <w:pPr>
        <w:pStyle w:val="Footer"/>
        <w:tabs>
          <w:tab w:val="clear" w:pos="4153"/>
          <w:tab w:val="clear" w:pos="8306"/>
          <w:tab w:val="left" w:pos="0"/>
        </w:tabs>
        <w:rPr>
          <w:rFonts w:cs="Arial"/>
          <w:b/>
          <w:sz w:val="28"/>
          <w:szCs w:val="28"/>
          <w:lang w:val="en-GB"/>
        </w:rPr>
      </w:pPr>
    </w:p>
    <w:p w:rsidR="005B321C" w:rsidRDefault="005B321C" w:rsidP="00E41129">
      <w:pPr>
        <w:pStyle w:val="Footer"/>
        <w:tabs>
          <w:tab w:val="clear" w:pos="4153"/>
          <w:tab w:val="clear" w:pos="8306"/>
          <w:tab w:val="left" w:pos="0"/>
        </w:tabs>
        <w:rPr>
          <w:rFonts w:cs="Arial"/>
          <w:b/>
          <w:sz w:val="28"/>
          <w:szCs w:val="28"/>
          <w:lang w:val="en-GB"/>
        </w:rPr>
      </w:pPr>
    </w:p>
    <w:p w:rsidR="00E41129" w:rsidRDefault="00E41129" w:rsidP="00E41129">
      <w:pPr>
        <w:pStyle w:val="Footer"/>
        <w:tabs>
          <w:tab w:val="clear" w:pos="4153"/>
          <w:tab w:val="clear" w:pos="8306"/>
          <w:tab w:val="left" w:pos="0"/>
        </w:tabs>
        <w:rPr>
          <w:rFonts w:cs="Arial"/>
          <w:b/>
          <w:sz w:val="28"/>
          <w:szCs w:val="28"/>
          <w:lang w:val="en-GB"/>
        </w:rPr>
      </w:pPr>
      <w:r w:rsidRPr="00E41129">
        <w:rPr>
          <w:rFonts w:cs="Arial"/>
          <w:b/>
          <w:sz w:val="28"/>
          <w:szCs w:val="28"/>
          <w:lang w:val="en-GB"/>
        </w:rPr>
        <w:t>Financial Implications</w:t>
      </w:r>
    </w:p>
    <w:p w:rsidR="005B321C" w:rsidRDefault="005B321C" w:rsidP="00E41129">
      <w:pPr>
        <w:pStyle w:val="Footer"/>
        <w:tabs>
          <w:tab w:val="clear" w:pos="4153"/>
          <w:tab w:val="clear" w:pos="8306"/>
          <w:tab w:val="left" w:pos="0"/>
        </w:tabs>
        <w:rPr>
          <w:rFonts w:cs="Arial"/>
          <w:b/>
          <w:sz w:val="28"/>
          <w:szCs w:val="28"/>
          <w:lang w:val="en-GB"/>
        </w:rPr>
      </w:pPr>
    </w:p>
    <w:p w:rsidR="00E41129" w:rsidRPr="00363F6D" w:rsidRDefault="00E41129" w:rsidP="00E41129">
      <w:pPr>
        <w:numPr>
          <w:ilvl w:val="0"/>
          <w:numId w:val="17"/>
        </w:numPr>
        <w:jc w:val="both"/>
        <w:rPr>
          <w:rFonts w:cs="Arial"/>
          <w:szCs w:val="24"/>
        </w:rPr>
      </w:pPr>
      <w:r w:rsidRPr="00363F6D">
        <w:rPr>
          <w:rFonts w:cs="Arial"/>
          <w:szCs w:val="24"/>
        </w:rPr>
        <w:t>There are no direct financial implications arising from this report.</w:t>
      </w:r>
    </w:p>
    <w:p w:rsidR="00E41129" w:rsidRPr="00363F6D" w:rsidRDefault="00E41129" w:rsidP="00E41129">
      <w:pPr>
        <w:rPr>
          <w:rFonts w:cs="Arial"/>
          <w:b/>
          <w:szCs w:val="24"/>
        </w:rPr>
      </w:pPr>
    </w:p>
    <w:p w:rsidR="00E41129" w:rsidRDefault="00E41129" w:rsidP="00E41129">
      <w:pPr>
        <w:rPr>
          <w:rFonts w:cs="Arial"/>
          <w:b/>
          <w:sz w:val="28"/>
          <w:szCs w:val="28"/>
        </w:rPr>
      </w:pPr>
      <w:r w:rsidRPr="00E41129">
        <w:rPr>
          <w:rFonts w:cs="Arial"/>
          <w:b/>
          <w:sz w:val="28"/>
          <w:szCs w:val="28"/>
        </w:rPr>
        <w:t>Risk Management Implications</w:t>
      </w:r>
    </w:p>
    <w:p w:rsidR="00E41129" w:rsidRPr="00E41129" w:rsidRDefault="00E41129" w:rsidP="00E41129">
      <w:pPr>
        <w:rPr>
          <w:rFonts w:cs="Arial"/>
          <w:b/>
          <w:sz w:val="28"/>
          <w:szCs w:val="28"/>
        </w:rPr>
      </w:pPr>
    </w:p>
    <w:p w:rsidR="00E41129" w:rsidRPr="00363F6D" w:rsidRDefault="00E41129" w:rsidP="00E41129">
      <w:pPr>
        <w:pStyle w:val="infotext0"/>
        <w:numPr>
          <w:ilvl w:val="0"/>
          <w:numId w:val="17"/>
        </w:numPr>
        <w:spacing w:before="0" w:beforeAutospacing="0" w:after="0" w:afterAutospacing="0"/>
        <w:rPr>
          <w:rFonts w:ascii="Arial" w:hAnsi="Arial" w:cs="Arial"/>
          <w:lang w:val="en-GB"/>
        </w:rPr>
      </w:pPr>
      <w:r w:rsidRPr="00363F6D">
        <w:rPr>
          <w:rFonts w:ascii="Arial" w:hAnsi="Arial" w:cs="Arial"/>
          <w:lang w:val="en-GB"/>
        </w:rPr>
        <w:t>There are no risk implications.</w:t>
      </w:r>
    </w:p>
    <w:p w:rsidR="00E41129" w:rsidRPr="00363F6D" w:rsidRDefault="00E41129" w:rsidP="00E41129">
      <w:pPr>
        <w:rPr>
          <w:rFonts w:cs="Arial"/>
          <w:b/>
          <w:szCs w:val="24"/>
        </w:rPr>
      </w:pPr>
    </w:p>
    <w:p w:rsidR="00E41129" w:rsidRDefault="00E41129" w:rsidP="00E41129">
      <w:pPr>
        <w:rPr>
          <w:rFonts w:cs="Arial"/>
          <w:b/>
          <w:sz w:val="28"/>
          <w:szCs w:val="28"/>
        </w:rPr>
      </w:pPr>
      <w:r w:rsidRPr="00E41129">
        <w:rPr>
          <w:rFonts w:cs="Arial"/>
          <w:b/>
          <w:sz w:val="28"/>
          <w:szCs w:val="28"/>
        </w:rPr>
        <w:t>Equalities Implications</w:t>
      </w:r>
      <w:r w:rsidR="00D53A8B">
        <w:rPr>
          <w:rFonts w:cs="Arial"/>
          <w:b/>
          <w:sz w:val="28"/>
          <w:szCs w:val="28"/>
        </w:rPr>
        <w:t xml:space="preserve"> / Public Sector Equality Duty </w:t>
      </w:r>
    </w:p>
    <w:p w:rsidR="00E41129" w:rsidRPr="00E41129" w:rsidRDefault="00E41129" w:rsidP="00E41129">
      <w:pPr>
        <w:rPr>
          <w:rFonts w:cs="Arial"/>
          <w:b/>
          <w:sz w:val="28"/>
          <w:szCs w:val="28"/>
        </w:rPr>
      </w:pPr>
    </w:p>
    <w:p w:rsidR="00E41129" w:rsidRPr="00363F6D" w:rsidRDefault="00E41129" w:rsidP="00E41129">
      <w:pPr>
        <w:pStyle w:val="infotext0"/>
        <w:numPr>
          <w:ilvl w:val="0"/>
          <w:numId w:val="17"/>
        </w:numPr>
        <w:spacing w:before="0" w:beforeAutospacing="0" w:after="0" w:afterAutospacing="0"/>
        <w:rPr>
          <w:rFonts w:ascii="Arial" w:hAnsi="Arial" w:cs="Arial"/>
          <w:lang w:val="en-GB"/>
        </w:rPr>
      </w:pPr>
      <w:r w:rsidRPr="00363F6D">
        <w:rPr>
          <w:rFonts w:ascii="Arial" w:hAnsi="Arial" w:cs="Arial"/>
          <w:lang w:val="en-GB"/>
        </w:rPr>
        <w:t>There are no equalities implications</w:t>
      </w:r>
      <w:r w:rsidR="00D53A8B">
        <w:rPr>
          <w:rFonts w:ascii="Arial" w:hAnsi="Arial" w:cs="Arial"/>
          <w:lang w:val="en-GB"/>
        </w:rPr>
        <w:t xml:space="preserve"> / public sector equality duty implications</w:t>
      </w:r>
      <w:r w:rsidRPr="00363F6D">
        <w:rPr>
          <w:rFonts w:ascii="Arial" w:hAnsi="Arial" w:cs="Arial"/>
          <w:lang w:val="en-GB"/>
        </w:rPr>
        <w:t>.</w:t>
      </w:r>
    </w:p>
    <w:p w:rsidR="00E41129" w:rsidRPr="00363F6D" w:rsidRDefault="00E41129" w:rsidP="00E41129">
      <w:pPr>
        <w:jc w:val="both"/>
        <w:rPr>
          <w:rFonts w:cs="Arial"/>
          <w:szCs w:val="24"/>
        </w:rPr>
      </w:pPr>
    </w:p>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EF2F91" w:rsidRPr="00CD57D8" w:rsidRDefault="008E645A" w:rsidP="008E645A">
      <w:pPr>
        <w:numPr>
          <w:ilvl w:val="0"/>
          <w:numId w:val="17"/>
        </w:numPr>
        <w:rPr>
          <w:rFonts w:cs="Arial"/>
          <w:szCs w:val="24"/>
          <w:lang w:val="en-US"/>
        </w:rPr>
      </w:pPr>
      <w:r>
        <w:rPr>
          <w:rFonts w:cs="Arial"/>
          <w:szCs w:val="24"/>
          <w:lang w:val="en-US"/>
        </w:rPr>
        <w:t>The Statement of Accounts provides assurance that the Council has managed and delivered its finances in accordance wit</w:t>
      </w:r>
      <w:r w:rsidR="00F60DFD">
        <w:rPr>
          <w:rFonts w:cs="Arial"/>
          <w:szCs w:val="24"/>
          <w:lang w:val="en-US"/>
        </w:rPr>
        <w:t>h its approved plans and budget.</w:t>
      </w:r>
    </w:p>
    <w:p w:rsidR="00EF2F91" w:rsidRPr="00400032" w:rsidRDefault="00EF2F91" w:rsidP="00EF2F91"/>
    <w:p w:rsidR="002A2389" w:rsidRDefault="002A2389" w:rsidP="008D1750">
      <w:pPr>
        <w:pStyle w:val="Heading1"/>
        <w:keepNext/>
      </w:pPr>
      <w:r>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8515B">
            <w:pPr>
              <w:pStyle w:val="Infotext"/>
            </w:pPr>
            <w:r>
              <w:t>Name:</w:t>
            </w:r>
            <w:r w:rsidR="00E8515B">
              <w:t xml:space="preserve">  </w:t>
            </w:r>
            <w:r w:rsidR="00457020">
              <w:t>Dawn Calvert</w:t>
            </w:r>
          </w:p>
        </w:tc>
        <w:tc>
          <w:tcPr>
            <w:tcW w:w="138" w:type="pct"/>
            <w:tcBorders>
              <w:bottom w:val="single" w:sz="4" w:space="0" w:color="auto"/>
            </w:tcBorders>
          </w:tcPr>
          <w:p w:rsidR="002A2389" w:rsidRDefault="00457020">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E8515B">
            <w:pPr>
              <w:pStyle w:val="Infotext"/>
            </w:pPr>
            <w:r>
              <w:t xml:space="preserve">Date: </w:t>
            </w:r>
            <w:r w:rsidR="00E8515B">
              <w:t xml:space="preserve"> </w:t>
            </w:r>
            <w:r w:rsidR="00457020">
              <w:t>25</w:t>
            </w:r>
            <w:r w:rsidR="00457020" w:rsidRPr="00457020">
              <w:rPr>
                <w:vertAlign w:val="superscript"/>
              </w:rPr>
              <w:t>th</w:t>
            </w:r>
            <w:r w:rsidR="00457020">
              <w:t xml:space="preserve"> June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tc>
          <w:tcPr>
            <w:tcW w:w="2791" w:type="pct"/>
            <w:tcBorders>
              <w:top w:val="nil"/>
              <w:bottom w:val="nil"/>
            </w:tcBorders>
          </w:tcPr>
          <w:p w:rsidR="002A2389" w:rsidRDefault="002A2389" w:rsidP="00E8515B">
            <w:pPr>
              <w:pStyle w:val="Infotext"/>
            </w:pPr>
            <w:r>
              <w:t xml:space="preserve">Name: </w:t>
            </w:r>
            <w:r w:rsidR="00E8515B">
              <w:t xml:space="preserve"> </w:t>
            </w:r>
            <w:r w:rsidR="00457020">
              <w:t>David Hodge</w:t>
            </w:r>
          </w:p>
        </w:tc>
        <w:tc>
          <w:tcPr>
            <w:tcW w:w="138" w:type="pct"/>
            <w:tcBorders>
              <w:bottom w:val="single" w:sz="4" w:space="0" w:color="auto"/>
            </w:tcBorders>
          </w:tcPr>
          <w:p w:rsidR="002A2389" w:rsidRDefault="00457020">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457020">
            <w:pPr>
              <w:pStyle w:val="Infotext"/>
            </w:pPr>
            <w:r>
              <w:t xml:space="preserve">Date: </w:t>
            </w:r>
            <w:r w:rsidR="00E8515B">
              <w:t xml:space="preserve"> </w:t>
            </w:r>
            <w:r w:rsidR="00457020">
              <w:t>25</w:t>
            </w:r>
            <w:r w:rsidR="00457020" w:rsidRPr="00457020">
              <w:rPr>
                <w:vertAlign w:val="superscript"/>
              </w:rPr>
              <w:t>th</w:t>
            </w:r>
            <w:r w:rsidR="00457020">
              <w:t xml:space="preserve"> June 2019 </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213BE7" w:rsidTr="000A6659">
        <w:tc>
          <w:tcPr>
            <w:tcW w:w="4752" w:type="dxa"/>
            <w:tcBorders>
              <w:bottom w:val="nil"/>
              <w:right w:val="nil"/>
            </w:tcBorders>
          </w:tcPr>
          <w:p w:rsidR="00213BE7" w:rsidRDefault="00213BE7" w:rsidP="000A6659">
            <w:pPr>
              <w:pStyle w:val="Infotext"/>
            </w:pPr>
          </w:p>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13BE7" w:rsidP="000A6659">
            <w:pPr>
              <w:pStyle w:val="Infotext"/>
            </w:pPr>
          </w:p>
        </w:tc>
      </w:tr>
      <w:tr w:rsidR="00213BE7" w:rsidTr="000A6659">
        <w:tc>
          <w:tcPr>
            <w:tcW w:w="4752" w:type="dxa"/>
            <w:tcBorders>
              <w:top w:val="nil"/>
              <w:bottom w:val="nil"/>
            </w:tcBorders>
          </w:tcPr>
          <w:p w:rsidR="00213BE7" w:rsidRDefault="00213BE7" w:rsidP="00E8515B">
            <w:pPr>
              <w:pStyle w:val="Infotext"/>
            </w:pPr>
            <w:r>
              <w:t xml:space="preserve">Name: </w:t>
            </w:r>
            <w:r w:rsidR="00E8515B">
              <w:t xml:space="preserve"> </w:t>
            </w:r>
            <w:r w:rsidR="00337936">
              <w:t>Charlie Stewart</w:t>
            </w:r>
          </w:p>
        </w:tc>
        <w:tc>
          <w:tcPr>
            <w:tcW w:w="387" w:type="dxa"/>
            <w:tcBorders>
              <w:bottom w:val="single" w:sz="4" w:space="0" w:color="auto"/>
            </w:tcBorders>
          </w:tcPr>
          <w:p w:rsidR="00213BE7" w:rsidRDefault="00337936" w:rsidP="000A6659">
            <w:pPr>
              <w:pStyle w:val="Infotext"/>
            </w:pPr>
            <w:r>
              <w:t>X</w:t>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337936">
            <w:pPr>
              <w:pStyle w:val="Infotext"/>
            </w:pPr>
            <w:r>
              <w:t xml:space="preserve">Date: </w:t>
            </w:r>
            <w:r w:rsidR="00E8515B">
              <w:t xml:space="preserve"> </w:t>
            </w:r>
            <w:r w:rsidR="00337936">
              <w:t>2</w:t>
            </w:r>
            <w:r w:rsidR="00337936" w:rsidRPr="00337936">
              <w:rPr>
                <w:vertAlign w:val="superscript"/>
              </w:rPr>
              <w:t>nd</w:t>
            </w:r>
            <w:r w:rsidR="00337936">
              <w:t xml:space="preserve"> July 2019 </w:t>
            </w: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A2389" w:rsidRDefault="002A2389"/>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6E2A3F" w:rsidRDefault="006E2A3F"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NO </w:t>
            </w:r>
          </w:p>
          <w:p w:rsidR="000B0E6F" w:rsidRDefault="000B0E6F" w:rsidP="008D7800">
            <w:pPr>
              <w:pStyle w:val="Infotext"/>
              <w:rPr>
                <w:i/>
                <w:sz w:val="24"/>
                <w:szCs w:val="24"/>
              </w:rPr>
            </w:pPr>
            <w:r>
              <w:rPr>
                <w:i/>
                <w:sz w:val="24"/>
                <w:szCs w:val="24"/>
              </w:rPr>
              <w:t xml:space="preserve"> </w:t>
            </w:r>
          </w:p>
          <w:p w:rsidR="000B0E6F" w:rsidRPr="003D78F6" w:rsidRDefault="000B0E6F" w:rsidP="008D7800">
            <w:pPr>
              <w:pStyle w:val="Infotext"/>
              <w:ind w:left="173"/>
              <w:rPr>
                <w:i/>
                <w:sz w:val="24"/>
                <w:szCs w:val="24"/>
              </w:rPr>
            </w:pPr>
          </w:p>
        </w:tc>
      </w:tr>
    </w:tbl>
    <w:p w:rsidR="000B0E6F" w:rsidRDefault="000B0E6F"/>
    <w:p w:rsidR="002A2389" w:rsidRDefault="002A2389" w:rsidP="008D1750">
      <w:pPr>
        <w:pStyle w:val="Heading1"/>
        <w:keepNext/>
      </w:pPr>
      <w:r>
        <w:lastRenderedPageBreak/>
        <w:t>Section 4 - Contact Details and Background Papers</w:t>
      </w:r>
    </w:p>
    <w:p w:rsidR="002A2389" w:rsidRDefault="002A2389"/>
    <w:p w:rsidR="002A2389" w:rsidRPr="006E2A3F" w:rsidRDefault="002A2389" w:rsidP="006E2A3F">
      <w:pPr>
        <w:pStyle w:val="Infotext"/>
        <w:rPr>
          <w:sz w:val="24"/>
          <w:szCs w:val="24"/>
        </w:rPr>
      </w:pPr>
      <w:r w:rsidRPr="00D914D2">
        <w:rPr>
          <w:b/>
        </w:rPr>
        <w:t>Contact:</w:t>
      </w:r>
      <w:r>
        <w:t xml:space="preserve">  </w:t>
      </w:r>
      <w:r w:rsidR="006E2A3F" w:rsidRPr="006E2A3F">
        <w:rPr>
          <w:sz w:val="24"/>
          <w:szCs w:val="24"/>
        </w:rPr>
        <w:t xml:space="preserve">Paul Gower, Interim Technical Accounting Manager (Tel: 020 8424 1335 – internal </w:t>
      </w:r>
      <w:proofErr w:type="spellStart"/>
      <w:r w:rsidR="006E2A3F" w:rsidRPr="006E2A3F">
        <w:rPr>
          <w:sz w:val="24"/>
          <w:szCs w:val="24"/>
        </w:rPr>
        <w:t>ext</w:t>
      </w:r>
      <w:proofErr w:type="spellEnd"/>
      <w:r w:rsidR="006E2A3F" w:rsidRPr="006E2A3F">
        <w:rPr>
          <w:sz w:val="24"/>
          <w:szCs w:val="24"/>
        </w:rPr>
        <w:t xml:space="preserve"> 2335)</w:t>
      </w:r>
      <w:r w:rsidRPr="006E2A3F">
        <w:rPr>
          <w:rFonts w:cs="Arial"/>
          <w:sz w:val="24"/>
          <w:szCs w:val="24"/>
        </w:rPr>
        <w:t xml:space="preserve"> </w:t>
      </w:r>
    </w:p>
    <w:p w:rsidR="00F60DFD" w:rsidRDefault="00F60DFD" w:rsidP="00410822">
      <w:pPr>
        <w:pStyle w:val="Infotext"/>
        <w:rPr>
          <w:b/>
        </w:rPr>
      </w:pPr>
    </w:p>
    <w:p w:rsidR="00FF71E5" w:rsidRDefault="002A2389" w:rsidP="00410822">
      <w:pPr>
        <w:pStyle w:val="Infotext"/>
      </w:pPr>
      <w:r w:rsidRPr="00D914D2">
        <w:rPr>
          <w:b/>
        </w:rPr>
        <w:t>Background Papers</w:t>
      </w:r>
      <w:r>
        <w:t xml:space="preserve">:  </w:t>
      </w:r>
      <w:r w:rsidR="006E2A3F" w:rsidRPr="006E2A3F">
        <w:rPr>
          <w:sz w:val="24"/>
          <w:szCs w:val="24"/>
        </w:rPr>
        <w:t>None</w:t>
      </w:r>
    </w:p>
    <w:sectPr w:rsidR="00FF71E5"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4F" w:rsidRDefault="004D3D4F">
      <w:r>
        <w:separator/>
      </w:r>
    </w:p>
  </w:endnote>
  <w:endnote w:type="continuationSeparator" w:id="0">
    <w:p w:rsidR="004D3D4F" w:rsidRDefault="004D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4F" w:rsidRDefault="004D3D4F">
      <w:r>
        <w:separator/>
      </w:r>
    </w:p>
  </w:footnote>
  <w:footnote w:type="continuationSeparator" w:id="0">
    <w:p w:rsidR="004D3D4F" w:rsidRDefault="004D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EB184D"/>
    <w:multiLevelType w:val="hybridMultilevel"/>
    <w:tmpl w:val="E7567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D5D71"/>
    <w:multiLevelType w:val="hybridMultilevel"/>
    <w:tmpl w:val="5056891E"/>
    <w:lvl w:ilvl="0" w:tplc="26223C1C">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20FA6"/>
    <w:multiLevelType w:val="hybridMultilevel"/>
    <w:tmpl w:val="5056891E"/>
    <w:lvl w:ilvl="0" w:tplc="26223C1C">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85D5C"/>
    <w:multiLevelType w:val="hybridMultilevel"/>
    <w:tmpl w:val="CB2E4DEE"/>
    <w:lvl w:ilvl="0" w:tplc="26223C1C">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2724D1"/>
    <w:multiLevelType w:val="hybridMultilevel"/>
    <w:tmpl w:val="5056891E"/>
    <w:lvl w:ilvl="0" w:tplc="26223C1C">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FA6FEC"/>
    <w:multiLevelType w:val="hybridMultilevel"/>
    <w:tmpl w:val="7B16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6"/>
  </w:num>
  <w:num w:numId="9">
    <w:abstractNumId w:val="5"/>
  </w:num>
  <w:num w:numId="10">
    <w:abstractNumId w:val="15"/>
  </w:num>
  <w:num w:numId="11">
    <w:abstractNumId w:val="19"/>
  </w:num>
  <w:num w:numId="12">
    <w:abstractNumId w:val="14"/>
  </w:num>
  <w:num w:numId="13">
    <w:abstractNumId w:val="4"/>
  </w:num>
  <w:num w:numId="14">
    <w:abstractNumId w:val="8"/>
  </w:num>
  <w:num w:numId="15">
    <w:abstractNumId w:val="1"/>
  </w:num>
  <w:num w:numId="16">
    <w:abstractNumId w:val="17"/>
  </w:num>
  <w:num w:numId="17">
    <w:abstractNumId w:val="9"/>
  </w:num>
  <w:num w:numId="18">
    <w:abstractNumId w:val="7"/>
  </w:num>
  <w:num w:numId="19">
    <w:abstractNumId w:val="3"/>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4605C"/>
    <w:rsid w:val="00057F10"/>
    <w:rsid w:val="00060227"/>
    <w:rsid w:val="000633A2"/>
    <w:rsid w:val="00071EB4"/>
    <w:rsid w:val="00077298"/>
    <w:rsid w:val="000A6659"/>
    <w:rsid w:val="000B0E6F"/>
    <w:rsid w:val="000B6DBB"/>
    <w:rsid w:val="000D2BF2"/>
    <w:rsid w:val="000F65C0"/>
    <w:rsid w:val="001939BA"/>
    <w:rsid w:val="001A6EB0"/>
    <w:rsid w:val="001B283D"/>
    <w:rsid w:val="001B441D"/>
    <w:rsid w:val="001C5225"/>
    <w:rsid w:val="001E0219"/>
    <w:rsid w:val="001F5117"/>
    <w:rsid w:val="00213BE7"/>
    <w:rsid w:val="002318F8"/>
    <w:rsid w:val="00231A1D"/>
    <w:rsid w:val="00244120"/>
    <w:rsid w:val="00282F83"/>
    <w:rsid w:val="00293F9F"/>
    <w:rsid w:val="002A2389"/>
    <w:rsid w:val="002C08E2"/>
    <w:rsid w:val="002C1794"/>
    <w:rsid w:val="002E6637"/>
    <w:rsid w:val="002E77E3"/>
    <w:rsid w:val="00332947"/>
    <w:rsid w:val="00333EB4"/>
    <w:rsid w:val="00337936"/>
    <w:rsid w:val="00345915"/>
    <w:rsid w:val="00383E25"/>
    <w:rsid w:val="00400032"/>
    <w:rsid w:val="00410822"/>
    <w:rsid w:val="0042335D"/>
    <w:rsid w:val="0042394B"/>
    <w:rsid w:val="00457020"/>
    <w:rsid w:val="00473B08"/>
    <w:rsid w:val="00474B5F"/>
    <w:rsid w:val="004A3CE6"/>
    <w:rsid w:val="004B2C9D"/>
    <w:rsid w:val="004B4A47"/>
    <w:rsid w:val="004D0C99"/>
    <w:rsid w:val="004D3D4F"/>
    <w:rsid w:val="004E667D"/>
    <w:rsid w:val="004E6AF9"/>
    <w:rsid w:val="004F3D7C"/>
    <w:rsid w:val="0054040E"/>
    <w:rsid w:val="00552914"/>
    <w:rsid w:val="00585222"/>
    <w:rsid w:val="005916CE"/>
    <w:rsid w:val="00597314"/>
    <w:rsid w:val="005A61AF"/>
    <w:rsid w:val="005B321C"/>
    <w:rsid w:val="005D0886"/>
    <w:rsid w:val="005E384D"/>
    <w:rsid w:val="005F2181"/>
    <w:rsid w:val="005F724B"/>
    <w:rsid w:val="0063072B"/>
    <w:rsid w:val="00662891"/>
    <w:rsid w:val="006628B7"/>
    <w:rsid w:val="00675FCB"/>
    <w:rsid w:val="006C0FF0"/>
    <w:rsid w:val="006C3914"/>
    <w:rsid w:val="006D3648"/>
    <w:rsid w:val="006E2A3F"/>
    <w:rsid w:val="006F1885"/>
    <w:rsid w:val="0074184E"/>
    <w:rsid w:val="00743829"/>
    <w:rsid w:val="00755F8D"/>
    <w:rsid w:val="007707EC"/>
    <w:rsid w:val="00796503"/>
    <w:rsid w:val="007D1BE2"/>
    <w:rsid w:val="007D2A6C"/>
    <w:rsid w:val="007D2BDA"/>
    <w:rsid w:val="007D56C8"/>
    <w:rsid w:val="007E17B5"/>
    <w:rsid w:val="007E3934"/>
    <w:rsid w:val="007E7303"/>
    <w:rsid w:val="008212A0"/>
    <w:rsid w:val="008232AB"/>
    <w:rsid w:val="00837F53"/>
    <w:rsid w:val="008D1750"/>
    <w:rsid w:val="008D7800"/>
    <w:rsid w:val="008E2910"/>
    <w:rsid w:val="008E3D8F"/>
    <w:rsid w:val="008E4913"/>
    <w:rsid w:val="008E645A"/>
    <w:rsid w:val="00900464"/>
    <w:rsid w:val="0090100E"/>
    <w:rsid w:val="0093767E"/>
    <w:rsid w:val="00950D17"/>
    <w:rsid w:val="00972A02"/>
    <w:rsid w:val="0099517C"/>
    <w:rsid w:val="009A05B8"/>
    <w:rsid w:val="009A0937"/>
    <w:rsid w:val="009B2ECD"/>
    <w:rsid w:val="009B7914"/>
    <w:rsid w:val="009F430B"/>
    <w:rsid w:val="00A55A6B"/>
    <w:rsid w:val="00A566E7"/>
    <w:rsid w:val="00A940D3"/>
    <w:rsid w:val="00A967D8"/>
    <w:rsid w:val="00A96FCA"/>
    <w:rsid w:val="00AA4BE8"/>
    <w:rsid w:val="00AC0AAB"/>
    <w:rsid w:val="00AC7BA9"/>
    <w:rsid w:val="00AF4A07"/>
    <w:rsid w:val="00B0425E"/>
    <w:rsid w:val="00B2654B"/>
    <w:rsid w:val="00B5170A"/>
    <w:rsid w:val="00B900E2"/>
    <w:rsid w:val="00B9118E"/>
    <w:rsid w:val="00BB2FFD"/>
    <w:rsid w:val="00BD5B0C"/>
    <w:rsid w:val="00BD684A"/>
    <w:rsid w:val="00C05BE4"/>
    <w:rsid w:val="00C32DAE"/>
    <w:rsid w:val="00C40E24"/>
    <w:rsid w:val="00C53F25"/>
    <w:rsid w:val="00C92D9A"/>
    <w:rsid w:val="00C96EF5"/>
    <w:rsid w:val="00CA341D"/>
    <w:rsid w:val="00D04F7A"/>
    <w:rsid w:val="00D32B51"/>
    <w:rsid w:val="00D34668"/>
    <w:rsid w:val="00D3740E"/>
    <w:rsid w:val="00D40335"/>
    <w:rsid w:val="00D53A8B"/>
    <w:rsid w:val="00D62575"/>
    <w:rsid w:val="00D82F57"/>
    <w:rsid w:val="00D841A5"/>
    <w:rsid w:val="00D914D2"/>
    <w:rsid w:val="00DA25DB"/>
    <w:rsid w:val="00DD4251"/>
    <w:rsid w:val="00DF69EE"/>
    <w:rsid w:val="00E02B50"/>
    <w:rsid w:val="00E03F11"/>
    <w:rsid w:val="00E06DC8"/>
    <w:rsid w:val="00E220B5"/>
    <w:rsid w:val="00E33D93"/>
    <w:rsid w:val="00E41129"/>
    <w:rsid w:val="00E609EF"/>
    <w:rsid w:val="00E8515B"/>
    <w:rsid w:val="00EB24DE"/>
    <w:rsid w:val="00EF2F91"/>
    <w:rsid w:val="00F33EE3"/>
    <w:rsid w:val="00F4213B"/>
    <w:rsid w:val="00F60DFD"/>
    <w:rsid w:val="00F635AD"/>
    <w:rsid w:val="00F849ED"/>
    <w:rsid w:val="00F92398"/>
    <w:rsid w:val="00FB5D54"/>
    <w:rsid w:val="00FD31A0"/>
    <w:rsid w:val="00FD3391"/>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9847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2</cp:revision>
  <cp:lastPrinted>2019-07-11T11:00:00Z</cp:lastPrinted>
  <dcterms:created xsi:type="dcterms:W3CDTF">2019-07-12T08:45:00Z</dcterms:created>
  <dcterms:modified xsi:type="dcterms:W3CDTF">2019-07-12T08:45:00Z</dcterms:modified>
</cp:coreProperties>
</file>